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68004">
      <w:pPr>
        <w:jc w:val="center"/>
        <w:rPr>
          <w:rFonts w:hint="eastAsia" w:ascii="黑体" w:hAnsi="黑体" w:eastAsia="黑体"/>
          <w:sz w:val="44"/>
          <w:szCs w:val="44"/>
          <w:highlight w:val="none"/>
          <w:lang w:val="en-US" w:eastAsia="zh-CN"/>
        </w:rPr>
      </w:pPr>
    </w:p>
    <w:p w14:paraId="00C39F51">
      <w:pPr>
        <w:jc w:val="center"/>
        <w:rPr>
          <w:rFonts w:hint="eastAsia" w:ascii="黑体" w:hAnsi="黑体" w:eastAsia="黑体"/>
          <w:sz w:val="44"/>
          <w:szCs w:val="44"/>
          <w:highlight w:val="none"/>
          <w:lang w:val="en-US" w:eastAsia="zh-CN"/>
        </w:rPr>
      </w:pPr>
    </w:p>
    <w:p w14:paraId="5EA923A1">
      <w:pPr>
        <w:jc w:val="center"/>
        <w:rPr>
          <w:rFonts w:hint="eastAsia" w:ascii="黑体" w:hAnsi="黑体" w:eastAsia="黑体"/>
          <w:sz w:val="44"/>
          <w:szCs w:val="44"/>
          <w:highlight w:val="none"/>
          <w:lang w:val="en-US" w:eastAsia="zh-CN"/>
        </w:rPr>
      </w:pPr>
    </w:p>
    <w:p w14:paraId="595B5DDF">
      <w:pPr>
        <w:jc w:val="center"/>
        <w:rPr>
          <w:rFonts w:hint="eastAsia" w:ascii="黑体" w:hAnsi="黑体" w:eastAsia="黑体"/>
          <w:sz w:val="44"/>
          <w:szCs w:val="44"/>
          <w:highlight w:val="none"/>
          <w:lang w:val="en-US" w:eastAsia="zh-CN"/>
        </w:rPr>
      </w:pPr>
    </w:p>
    <w:p w14:paraId="41815117">
      <w:pPr>
        <w:jc w:val="center"/>
        <w:rPr>
          <w:rFonts w:hint="eastAsia" w:ascii="黑体" w:hAnsi="黑体" w:eastAsia="黑体"/>
          <w:sz w:val="44"/>
          <w:szCs w:val="44"/>
          <w:highlight w:val="none"/>
          <w:lang w:val="en-US" w:eastAsia="zh-CN"/>
        </w:rPr>
      </w:pPr>
    </w:p>
    <w:p w14:paraId="7BAB8B74">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蛟河市殡葬管理所2025年部门预算</w:t>
      </w:r>
    </w:p>
    <w:p w14:paraId="55142232">
      <w:pPr>
        <w:jc w:val="center"/>
        <w:rPr>
          <w:rFonts w:hint="eastAsia" w:ascii="黑体" w:hAnsi="黑体" w:eastAsia="黑体"/>
          <w:sz w:val="44"/>
          <w:szCs w:val="44"/>
          <w:highlight w:val="none"/>
        </w:rPr>
      </w:pPr>
    </w:p>
    <w:p w14:paraId="7F65F638">
      <w:pPr>
        <w:jc w:val="center"/>
        <w:rPr>
          <w:rFonts w:hint="eastAsia" w:ascii="黑体" w:hAnsi="黑体" w:eastAsia="黑体"/>
          <w:sz w:val="44"/>
          <w:szCs w:val="44"/>
          <w:highlight w:val="none"/>
        </w:rPr>
      </w:pPr>
    </w:p>
    <w:p w14:paraId="4BFDA16F">
      <w:pPr>
        <w:jc w:val="center"/>
        <w:rPr>
          <w:rFonts w:hint="eastAsia" w:ascii="黑体" w:hAnsi="黑体" w:eastAsia="黑体"/>
          <w:sz w:val="44"/>
          <w:szCs w:val="44"/>
          <w:highlight w:val="none"/>
        </w:rPr>
      </w:pPr>
    </w:p>
    <w:p w14:paraId="5C785618">
      <w:pPr>
        <w:jc w:val="center"/>
        <w:rPr>
          <w:rFonts w:hint="eastAsia" w:ascii="黑体" w:hAnsi="黑体" w:eastAsia="黑体"/>
          <w:sz w:val="44"/>
          <w:szCs w:val="44"/>
          <w:highlight w:val="none"/>
        </w:rPr>
      </w:pPr>
    </w:p>
    <w:p w14:paraId="474F446D">
      <w:pPr>
        <w:jc w:val="center"/>
        <w:rPr>
          <w:rFonts w:hint="eastAsia" w:ascii="黑体" w:hAnsi="黑体" w:eastAsia="黑体"/>
          <w:sz w:val="44"/>
          <w:szCs w:val="44"/>
          <w:highlight w:val="none"/>
        </w:rPr>
      </w:pPr>
    </w:p>
    <w:p w14:paraId="123AC198">
      <w:pPr>
        <w:jc w:val="center"/>
        <w:rPr>
          <w:rFonts w:hint="eastAsia" w:ascii="黑体" w:hAnsi="黑体" w:eastAsia="黑体"/>
          <w:sz w:val="44"/>
          <w:szCs w:val="44"/>
          <w:highlight w:val="none"/>
        </w:rPr>
      </w:pPr>
    </w:p>
    <w:p w14:paraId="45BE2CEC">
      <w:pPr>
        <w:jc w:val="center"/>
        <w:rPr>
          <w:rFonts w:hint="eastAsia" w:ascii="黑体" w:hAnsi="黑体" w:eastAsia="黑体"/>
          <w:sz w:val="44"/>
          <w:szCs w:val="44"/>
          <w:highlight w:val="none"/>
        </w:rPr>
      </w:pPr>
    </w:p>
    <w:p w14:paraId="7F68F0D7">
      <w:pPr>
        <w:jc w:val="center"/>
        <w:rPr>
          <w:rFonts w:hint="eastAsia" w:ascii="黑体" w:hAnsi="黑体" w:eastAsia="黑体"/>
          <w:sz w:val="44"/>
          <w:szCs w:val="44"/>
          <w:highlight w:val="none"/>
        </w:rPr>
      </w:pPr>
    </w:p>
    <w:p w14:paraId="3EE92379">
      <w:pPr>
        <w:jc w:val="center"/>
        <w:rPr>
          <w:rFonts w:hint="eastAsia" w:ascii="黑体" w:hAnsi="黑体" w:eastAsia="黑体"/>
          <w:sz w:val="44"/>
          <w:szCs w:val="44"/>
          <w:highlight w:val="none"/>
        </w:rPr>
      </w:pPr>
    </w:p>
    <w:p w14:paraId="181C0D71">
      <w:pPr>
        <w:jc w:val="center"/>
        <w:rPr>
          <w:rFonts w:hint="eastAsia" w:ascii="黑体" w:hAnsi="黑体" w:eastAsia="黑体"/>
          <w:sz w:val="44"/>
          <w:szCs w:val="44"/>
          <w:highlight w:val="none"/>
        </w:rPr>
      </w:pPr>
    </w:p>
    <w:p w14:paraId="3E623346">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二〇二五年一月二十日</w:t>
      </w:r>
    </w:p>
    <w:p w14:paraId="08B6A94B">
      <w:pPr>
        <w:jc w:val="center"/>
        <w:rPr>
          <w:rFonts w:hint="eastAsia" w:ascii="黑体" w:hAnsi="黑体" w:eastAsia="黑体"/>
          <w:sz w:val="44"/>
          <w:szCs w:val="44"/>
          <w:highlight w:val="none"/>
        </w:rPr>
      </w:pPr>
    </w:p>
    <w:p w14:paraId="697C3607">
      <w:pPr>
        <w:jc w:val="center"/>
        <w:rPr>
          <w:rFonts w:hint="eastAsia" w:ascii="黑体" w:hAnsi="黑体" w:eastAsia="黑体"/>
          <w:sz w:val="44"/>
          <w:szCs w:val="44"/>
          <w:highlight w:val="none"/>
        </w:rPr>
      </w:pPr>
    </w:p>
    <w:p w14:paraId="74B634F8">
      <w:pPr>
        <w:jc w:val="center"/>
        <w:rPr>
          <w:rFonts w:hint="eastAsia" w:ascii="黑体" w:hAnsi="黑体" w:eastAsia="黑体"/>
          <w:sz w:val="44"/>
          <w:szCs w:val="44"/>
          <w:highlight w:val="none"/>
        </w:rPr>
      </w:pPr>
    </w:p>
    <w:p w14:paraId="0DF82331">
      <w:pPr>
        <w:jc w:val="center"/>
        <w:rPr>
          <w:rFonts w:hint="eastAsia" w:ascii="黑体" w:hAnsi="黑体" w:eastAsia="黑体"/>
          <w:sz w:val="44"/>
          <w:szCs w:val="44"/>
          <w:highlight w:val="none"/>
        </w:rPr>
      </w:pPr>
    </w:p>
    <w:p w14:paraId="19E03632">
      <w:pPr>
        <w:jc w:val="center"/>
        <w:rPr>
          <w:rFonts w:hint="eastAsia" w:ascii="黑体" w:hAnsi="黑体" w:eastAsia="黑体"/>
          <w:sz w:val="44"/>
          <w:szCs w:val="44"/>
          <w:highlight w:val="none"/>
        </w:rPr>
      </w:pPr>
    </w:p>
    <w:p w14:paraId="4520354A">
      <w:pPr>
        <w:jc w:val="center"/>
        <w:rPr>
          <w:rFonts w:hint="eastAsia" w:ascii="黑体" w:hAnsi="黑体" w:eastAsia="黑体"/>
          <w:sz w:val="44"/>
          <w:szCs w:val="44"/>
          <w:highlight w:val="none"/>
        </w:rPr>
      </w:pPr>
    </w:p>
    <w:p w14:paraId="083061D1">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蛟河市殡葬管理所202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4730C23C">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E1AF684">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6BDD5602">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4BA4A9">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D35D886">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5A1DE75B">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768DA01">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3E80494">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A07A86B">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5C31404">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8CF5C34">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73E7BA7">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29BE7B9">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678E09D">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4007C9B7">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4825A223">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6E5C811">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26FFD112">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7BB4E15E">
      <w:pPr>
        <w:rPr>
          <w:rFonts w:ascii="仿宋" w:hAnsi="仿宋" w:eastAsia="仿宋"/>
          <w:sz w:val="32"/>
          <w:szCs w:val="32"/>
          <w:highlight w:val="none"/>
        </w:rPr>
      </w:pPr>
    </w:p>
    <w:p w14:paraId="0ABA3874">
      <w:pPr>
        <w:rPr>
          <w:rFonts w:ascii="仿宋" w:hAnsi="仿宋" w:eastAsia="仿宋"/>
          <w:sz w:val="32"/>
          <w:szCs w:val="32"/>
          <w:highlight w:val="none"/>
        </w:rPr>
      </w:pPr>
    </w:p>
    <w:p w14:paraId="0393A71B">
      <w:pPr>
        <w:rPr>
          <w:rFonts w:ascii="仿宋" w:hAnsi="仿宋" w:eastAsia="仿宋"/>
          <w:sz w:val="32"/>
          <w:szCs w:val="32"/>
          <w:highlight w:val="none"/>
        </w:rPr>
      </w:pPr>
    </w:p>
    <w:p w14:paraId="7EB493E1">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5B5264FF">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0F66B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646C0C1C">
      <w:pPr>
        <w:pStyle w:val="11"/>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蛟河市殡葬管理所</w:t>
      </w:r>
    </w:p>
    <w:p w14:paraId="163B72DE">
      <w:pPr>
        <w:pStyle w:val="4"/>
        <w:shd w:val="clear" w:color="auto" w:fill="FFFFFF"/>
        <w:spacing w:before="150" w:after="150" w:line="435" w:lineRule="atLeast"/>
        <w:ind w:firstLine="640" w:firstLineChars="200"/>
        <w:rPr>
          <w:rFonts w:ascii="仿宋" w:hAnsi="仿宋" w:eastAsia="仿宋"/>
          <w:sz w:val="32"/>
          <w:szCs w:val="32"/>
        </w:rPr>
      </w:pPr>
      <w:r>
        <w:rPr>
          <w:rFonts w:hint="eastAsia" w:ascii="仿宋" w:hAnsi="仿宋" w:eastAsia="仿宋"/>
          <w:bCs/>
          <w:sz w:val="32"/>
          <w:szCs w:val="32"/>
        </w:rPr>
        <w:t>单位性质</w:t>
      </w:r>
      <w:r>
        <w:rPr>
          <w:rFonts w:hint="eastAsia" w:ascii="仿宋" w:hAnsi="仿宋" w:eastAsia="仿宋"/>
          <w:sz w:val="32"/>
          <w:szCs w:val="32"/>
        </w:rPr>
        <w:t>：蛟河市殡葬管理所为隶属于蛟河市民政局的公益二类事业单位</w:t>
      </w:r>
    </w:p>
    <w:p w14:paraId="22A3999D">
      <w:pPr>
        <w:pStyle w:val="4"/>
        <w:shd w:val="clear" w:color="auto" w:fill="FFFFFF"/>
        <w:spacing w:before="150" w:after="150" w:line="435" w:lineRule="atLeast"/>
        <w:ind w:firstLine="640" w:firstLineChars="200"/>
        <w:rPr>
          <w:rFonts w:ascii="仿宋" w:hAnsi="仿宋" w:eastAsia="仿宋"/>
          <w:bCs/>
          <w:sz w:val="32"/>
          <w:szCs w:val="32"/>
        </w:rPr>
      </w:pPr>
      <w:r>
        <w:rPr>
          <w:rFonts w:hint="eastAsia" w:ascii="仿宋" w:hAnsi="仿宋" w:eastAsia="仿宋"/>
          <w:bCs/>
          <w:sz w:val="32"/>
          <w:szCs w:val="32"/>
        </w:rPr>
        <w:t>主要职责：</w:t>
      </w:r>
    </w:p>
    <w:p w14:paraId="47BDA35B">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1、做好《殡葬管理条例》的宣传、贯彻、落实工作。</w:t>
      </w:r>
    </w:p>
    <w:p w14:paraId="3896AD08">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2、负责殡葬改革及殡葬法规宣传，殡葬执法检查工作。</w:t>
      </w:r>
    </w:p>
    <w:p w14:paraId="14671A6E">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3、倡导文明习俗，推进殡葬改革，积极推行火葬，全面禁止乱埋乱葬。</w:t>
      </w:r>
    </w:p>
    <w:p w14:paraId="2D664FF9">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4、做好殡葬用品市场检查、清理、整顿工作。</w:t>
      </w:r>
    </w:p>
    <w:p w14:paraId="2C273DC5">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5、开展文明丧葬、“绿色殡葬”、“沿湖区域”坟墓整治等宣传活动，引导群众依法约束殡葬行为，倡导健康文明办丧事的新风尚。</w:t>
      </w:r>
    </w:p>
    <w:p w14:paraId="6BD80EF2">
      <w:pPr>
        <w:pStyle w:val="11"/>
        <w:widowControl/>
        <w:spacing w:line="620" w:lineRule="exact"/>
        <w:ind w:firstLine="627" w:firstLineChars="196"/>
        <w:contextualSpacing/>
        <w:rPr>
          <w:rFonts w:hint="eastAsia" w:ascii="仿宋" w:hAnsi="仿宋" w:eastAsia="仿宋" w:cs="Arial"/>
          <w:color w:val="333333"/>
          <w:sz w:val="32"/>
          <w:szCs w:val="32"/>
        </w:rPr>
      </w:pPr>
      <w:r>
        <w:rPr>
          <w:rFonts w:hint="eastAsia" w:ascii="仿宋" w:hAnsi="仿宋" w:eastAsia="仿宋" w:cs="Arial"/>
          <w:color w:val="333333"/>
          <w:sz w:val="32"/>
          <w:szCs w:val="32"/>
        </w:rPr>
        <w:t>6、加强殡葬职业教育和岗位培训工作。</w:t>
      </w:r>
    </w:p>
    <w:p w14:paraId="3F3D93E4">
      <w:pPr>
        <w:pStyle w:val="11"/>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14:paraId="679ED835">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1C323C9F">
      <w:pPr>
        <w:spacing w:line="640" w:lineRule="exact"/>
        <w:ind w:firstLine="640" w:firstLineChars="200"/>
        <w:rPr>
          <w:rFonts w:ascii="仿宋_GB2312" w:eastAsia="仿宋_GB2312"/>
          <w:color w:val="444444"/>
          <w:sz w:val="28"/>
          <w:szCs w:val="28"/>
        </w:rPr>
      </w:pPr>
      <w:r>
        <w:rPr>
          <w:rFonts w:hint="eastAsia" w:ascii="仿宋" w:hAnsi="仿宋" w:eastAsia="仿宋" w:cs="Arial"/>
          <w:color w:val="333333"/>
          <w:sz w:val="32"/>
          <w:szCs w:val="32"/>
        </w:rPr>
        <w:t>根据所承担的工作职责和编制总量，蛟河市殡葬管理所无内设机构。</w:t>
      </w:r>
    </w:p>
    <w:p w14:paraId="64B9C523">
      <w:pPr>
        <w:pStyle w:val="13"/>
        <w:ind w:firstLine="627" w:firstLineChars="196"/>
        <w:rPr>
          <w:rFonts w:ascii="仿宋" w:hAnsi="仿宋" w:eastAsia="仿宋"/>
          <w:kern w:val="0"/>
          <w:szCs w:val="32"/>
          <w:highlight w:val="none"/>
        </w:rPr>
      </w:pPr>
    </w:p>
    <w:p w14:paraId="7582AA31">
      <w:pPr>
        <w:pStyle w:val="13"/>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9</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16</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64F863E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F5EDA73">
      <w:pPr>
        <w:jc w:val="left"/>
        <w:rPr>
          <w:rFonts w:ascii="仿宋" w:hAnsi="仿宋" w:eastAsia="仿宋"/>
          <w:sz w:val="32"/>
          <w:szCs w:val="32"/>
          <w:highlight w:val="none"/>
        </w:rPr>
      </w:pPr>
    </w:p>
    <w:p w14:paraId="513ED712">
      <w:pPr>
        <w:jc w:val="left"/>
        <w:rPr>
          <w:rFonts w:ascii="仿宋" w:hAnsi="仿宋" w:eastAsia="仿宋"/>
          <w:sz w:val="32"/>
          <w:szCs w:val="32"/>
          <w:highlight w:val="none"/>
        </w:rPr>
      </w:pPr>
    </w:p>
    <w:p w14:paraId="6C1F2844">
      <w:pPr>
        <w:jc w:val="left"/>
        <w:rPr>
          <w:rFonts w:ascii="仿宋" w:hAnsi="仿宋" w:eastAsia="仿宋"/>
          <w:sz w:val="32"/>
          <w:szCs w:val="32"/>
          <w:highlight w:val="none"/>
        </w:rPr>
      </w:pPr>
    </w:p>
    <w:p w14:paraId="69B70F39">
      <w:pPr>
        <w:jc w:val="left"/>
        <w:rPr>
          <w:rFonts w:ascii="仿宋" w:hAnsi="仿宋" w:eastAsia="仿宋"/>
          <w:sz w:val="32"/>
          <w:szCs w:val="32"/>
          <w:highlight w:val="none"/>
        </w:rPr>
      </w:pPr>
    </w:p>
    <w:p w14:paraId="76F201FE">
      <w:pPr>
        <w:jc w:val="left"/>
        <w:rPr>
          <w:rFonts w:ascii="仿宋" w:hAnsi="仿宋" w:eastAsia="仿宋"/>
          <w:sz w:val="32"/>
          <w:szCs w:val="32"/>
          <w:highlight w:val="none"/>
        </w:rPr>
      </w:pPr>
    </w:p>
    <w:p w14:paraId="37666980">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06B1ED5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C56AE0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0B3C52CC">
      <w:pPr>
        <w:pStyle w:val="12"/>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102.19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bookmarkStart w:id="0" w:name="_GoBack"/>
      <w:bookmarkEnd w:id="0"/>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211.45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109.26</w:t>
      </w:r>
      <w:r>
        <w:rPr>
          <w:rFonts w:hint="eastAsia" w:ascii="仿宋" w:hAnsi="仿宋" w:eastAsia="仿宋"/>
          <w:sz w:val="32"/>
          <w:szCs w:val="32"/>
          <w:highlight w:val="none"/>
        </w:rPr>
        <w:t>万元，主要原因：主要原因：</w:t>
      </w:r>
      <w:r>
        <w:rPr>
          <w:rFonts w:hint="eastAsia" w:ascii="仿宋" w:hAnsi="仿宋" w:eastAsia="仿宋"/>
          <w:sz w:val="32"/>
          <w:szCs w:val="32"/>
          <w:highlight w:val="none"/>
          <w:lang w:eastAsia="zh-CN"/>
        </w:rPr>
        <w:t>惠民政策实施减少收入来源，</w:t>
      </w:r>
      <w:r>
        <w:rPr>
          <w:rFonts w:hint="eastAsia" w:ascii="仿宋" w:hAnsi="仿宋" w:eastAsia="仿宋"/>
          <w:sz w:val="32"/>
          <w:szCs w:val="32"/>
          <w:highlight w:val="none"/>
        </w:rPr>
        <w:t>压缩运行</w:t>
      </w:r>
      <w:r>
        <w:rPr>
          <w:rFonts w:ascii="仿宋" w:hAnsi="仿宋" w:eastAsia="仿宋"/>
          <w:sz w:val="32"/>
          <w:szCs w:val="32"/>
          <w:highlight w:val="none"/>
        </w:rPr>
        <w:t>成本，厉行节约，项目资金减少</w:t>
      </w:r>
      <w:r>
        <w:rPr>
          <w:rFonts w:hint="eastAsia" w:ascii="仿宋" w:hAnsi="仿宋" w:eastAsia="仿宋"/>
          <w:sz w:val="32"/>
          <w:szCs w:val="32"/>
          <w:highlight w:val="none"/>
        </w:rPr>
        <w:t xml:space="preserve"> 。</w:t>
      </w:r>
    </w:p>
    <w:p w14:paraId="79382567">
      <w:pPr>
        <w:pStyle w:val="12"/>
        <w:ind w:firstLine="640" w:firstLineChars="200"/>
        <w:jc w:val="left"/>
        <w:rPr>
          <w:rFonts w:hint="eastAsia" w:ascii="仿宋" w:hAnsi="仿宋" w:eastAsia="仿宋"/>
          <w:sz w:val="32"/>
          <w:szCs w:val="32"/>
          <w:highlight w:val="none"/>
          <w:lang w:val="en-US" w:eastAsia="zh-CN"/>
        </w:rPr>
      </w:pPr>
    </w:p>
    <w:p w14:paraId="4003FC95">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016E8C3C">
      <w:pPr>
        <w:pStyle w:val="12"/>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102.19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102.19万元，占100%；本年收入中，一般公共预算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102.19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0万元，国有资本经营预算拨款收入0 万元，其他收入 0万元。</w:t>
      </w:r>
    </w:p>
    <w:p w14:paraId="6A140B08">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7BA4C27D">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102.19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102.19</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w:t>
      </w:r>
    </w:p>
    <w:p w14:paraId="122227F1">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3FFB78A2">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102.19</w:t>
      </w:r>
      <w:r>
        <w:rPr>
          <w:rFonts w:hint="eastAsia" w:ascii="仿宋" w:hAnsi="仿宋" w:eastAsia="仿宋"/>
          <w:sz w:val="32"/>
          <w:szCs w:val="32"/>
          <w:highlight w:val="none"/>
        </w:rPr>
        <w:t>，其中：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102.19万元。支出包括：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88.98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5.32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7.89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 万元</w:t>
      </w:r>
      <w:r>
        <w:rPr>
          <w:rFonts w:hint="eastAsia" w:ascii="仿宋" w:hAnsi="仿宋" w:eastAsia="仿宋"/>
          <w:sz w:val="32"/>
          <w:szCs w:val="32"/>
          <w:highlight w:val="none"/>
        </w:rPr>
        <w:t>。</w:t>
      </w:r>
    </w:p>
    <w:p w14:paraId="17573188">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726B2113">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102.19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102.19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91.91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90%</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10.28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w:t>
      </w:r>
    </w:p>
    <w:p w14:paraId="3042848D">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 万元，占0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w:t>
      </w:r>
    </w:p>
    <w:p w14:paraId="495678A8">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社会保障和就业（类）支出 88.98万元，占87.07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机关事业单位基本养老保险缴费支出，其他行政事业单位养老支出，事业单位</w:t>
      </w:r>
      <w:r>
        <w:rPr>
          <w:rFonts w:hint="eastAsia" w:ascii="仿宋" w:hAnsi="仿宋" w:eastAsia="仿宋"/>
          <w:sz w:val="32"/>
          <w:szCs w:val="32"/>
          <w:lang w:eastAsia="zh-CN"/>
        </w:rPr>
        <w:t>职业年金支出，</w:t>
      </w:r>
      <w:r>
        <w:rPr>
          <w:rFonts w:hint="eastAsia" w:ascii="仿宋" w:hAnsi="仿宋" w:eastAsia="仿宋"/>
          <w:sz w:val="32"/>
          <w:szCs w:val="32"/>
        </w:rPr>
        <w:t>殡葬人员经费</w:t>
      </w:r>
      <w:r>
        <w:rPr>
          <w:rFonts w:ascii="仿宋" w:hAnsi="仿宋" w:eastAsia="仿宋"/>
          <w:sz w:val="32"/>
          <w:szCs w:val="32"/>
        </w:rPr>
        <w:t>支出</w:t>
      </w:r>
      <w:r>
        <w:rPr>
          <w:rFonts w:hint="eastAsia" w:ascii="仿宋" w:hAnsi="仿宋" w:eastAsia="仿宋"/>
          <w:sz w:val="32"/>
          <w:szCs w:val="32"/>
        </w:rPr>
        <w:t>等。</w:t>
      </w:r>
    </w:p>
    <w:p w14:paraId="702699A5">
      <w:pPr>
        <w:ind w:firstLine="640" w:firstLineChars="200"/>
        <w:rPr>
          <w:rFonts w:hint="eastAsia" w:ascii="仿宋" w:hAnsi="仿宋" w:eastAsia="仿宋"/>
          <w:sz w:val="32"/>
          <w:szCs w:val="32"/>
        </w:rPr>
      </w:pPr>
      <w:r>
        <w:rPr>
          <w:rFonts w:hint="eastAsia" w:ascii="仿宋" w:hAnsi="仿宋" w:eastAsia="仿宋"/>
          <w:sz w:val="32"/>
          <w:szCs w:val="32"/>
          <w:highlight w:val="none"/>
          <w:lang w:val="en-US" w:eastAsia="zh-CN"/>
        </w:rPr>
        <w:t>卫生健康（类）支出 5.32 万元，占5.21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其他行政事业单位医疗支出。</w:t>
      </w:r>
    </w:p>
    <w:p w14:paraId="5F6316AE">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住房保障（类）支出7.89 万元，占7.72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住房公积金支出。</w:t>
      </w:r>
    </w:p>
    <w:p w14:paraId="1EDB745E">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6E6077D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2025年一般公共预算基本支出102.19万元，其中：</w:t>
      </w:r>
    </w:p>
    <w:p w14:paraId="736A862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91.91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绩效工资、机关事业单位基本养老保险缴费、机关事业单位职业年金、职工基本医疗保险缴费、其他社会保障缴费、工伤保险缴费、其他社会保障缴费（失业）、住房公积金、</w:t>
      </w:r>
      <w:r>
        <w:rPr>
          <w:rFonts w:hint="eastAsia" w:ascii="仿宋" w:hAnsi="仿宋" w:eastAsia="仿宋"/>
          <w:sz w:val="32"/>
          <w:szCs w:val="32"/>
          <w:highlight w:val="none"/>
        </w:rPr>
        <w:t>其他工资福利支出、退休费、生活补助、其他对个人和家庭补助支出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p>
    <w:p w14:paraId="08E5D035">
      <w:pPr>
        <w:pStyle w:val="10"/>
        <w:ind w:firstLine="627" w:firstLineChars="196"/>
        <w:rPr>
          <w:rFonts w:ascii="仿宋" w:hAnsi="仿宋" w:eastAsia="仿宋"/>
          <w:kern w:val="0"/>
          <w:sz w:val="32"/>
          <w:szCs w:val="32"/>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10.28</w:t>
      </w:r>
      <w:r>
        <w:rPr>
          <w:rFonts w:hint="eastAsia" w:ascii="仿宋" w:hAnsi="仿宋" w:eastAsia="仿宋"/>
          <w:sz w:val="32"/>
          <w:szCs w:val="32"/>
          <w:highlight w:val="none"/>
        </w:rPr>
        <w:t>万元，主要包括：</w:t>
      </w:r>
      <w:r>
        <w:rPr>
          <w:rFonts w:hint="eastAsia" w:ascii="仿宋" w:hAnsi="仿宋" w:eastAsia="仿宋"/>
          <w:sz w:val="32"/>
          <w:szCs w:val="32"/>
          <w:highlight w:val="none"/>
          <w:lang w:eastAsia="zh-CN"/>
        </w:rPr>
        <w:t>办公用房</w:t>
      </w:r>
      <w:r>
        <w:rPr>
          <w:rFonts w:hint="eastAsia" w:ascii="仿宋" w:hAnsi="仿宋" w:eastAsia="仿宋"/>
          <w:sz w:val="32"/>
          <w:szCs w:val="32"/>
        </w:rPr>
        <w:t>取暖费、</w:t>
      </w:r>
      <w:r>
        <w:rPr>
          <w:rFonts w:hint="eastAsia" w:ascii="仿宋" w:hAnsi="仿宋" w:eastAsia="仿宋"/>
          <w:sz w:val="32"/>
          <w:szCs w:val="32"/>
          <w:lang w:eastAsia="zh-CN"/>
        </w:rPr>
        <w:t>退休人员公用支出</w:t>
      </w:r>
      <w:r>
        <w:rPr>
          <w:rFonts w:hint="eastAsia" w:ascii="仿宋" w:hAnsi="仿宋" w:eastAsia="仿宋"/>
          <w:sz w:val="32"/>
          <w:szCs w:val="32"/>
        </w:rPr>
        <w:t>、福利费、工会经费等。</w:t>
      </w:r>
    </w:p>
    <w:p w14:paraId="7794B8D0">
      <w:pPr>
        <w:pStyle w:val="10"/>
        <w:ind w:firstLine="627" w:firstLineChars="196"/>
        <w:rPr>
          <w:rFonts w:ascii="仿宋" w:hAnsi="仿宋" w:eastAsia="仿宋"/>
          <w:kern w:val="0"/>
          <w:sz w:val="32"/>
          <w:szCs w:val="32"/>
          <w:highlight w:val="none"/>
        </w:rPr>
      </w:pPr>
    </w:p>
    <w:p w14:paraId="3EF47689">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F7554AD">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2EDC9B39">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6F9CD192">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eastAsia="zh-CN"/>
        </w:rPr>
        <w:t>。</w:t>
      </w:r>
    </w:p>
    <w:p w14:paraId="14F5D115">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51090C3C">
      <w:pPr>
        <w:pStyle w:val="10"/>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p>
    <w:p w14:paraId="4AD9FFD0">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AB654CF">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10C0DA01">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33906105">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69F9D8E5">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C3F7F6F">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345ABE9">
      <w:pPr>
        <w:pStyle w:val="9"/>
        <w:ind w:firstLine="960" w:firstLineChars="300"/>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val="en-US" w:eastAsia="zh-CN"/>
        </w:rPr>
        <w:t>机关运行经费</w:t>
      </w:r>
      <w:r>
        <w:rPr>
          <w:rFonts w:hint="eastAsia" w:ascii="仿宋" w:hAnsi="仿宋" w:eastAsia="仿宋"/>
          <w:sz w:val="32"/>
          <w:szCs w:val="32"/>
          <w:highlight w:val="none"/>
          <w:lang w:eastAsia="zh-CN"/>
        </w:rPr>
        <w:t>。</w:t>
      </w:r>
    </w:p>
    <w:p w14:paraId="10DD40B1">
      <w:pPr>
        <w:pStyle w:val="9"/>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284F3980">
      <w:pPr>
        <w:pStyle w:val="9"/>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w:t>
      </w:r>
      <w:r>
        <w:rPr>
          <w:rFonts w:hint="eastAsia" w:ascii="仿宋" w:hAnsi="仿宋" w:eastAsia="仿宋"/>
          <w:kern w:val="0"/>
          <w:sz w:val="32"/>
          <w:szCs w:val="32"/>
          <w:lang w:eastAsia="zh-CN"/>
        </w:rPr>
        <w:t>委托业务费</w:t>
      </w:r>
      <w:r>
        <w:rPr>
          <w:rFonts w:hint="eastAsia" w:ascii="仿宋" w:hAnsi="仿宋" w:eastAsia="仿宋"/>
          <w:kern w:val="0"/>
          <w:sz w:val="32"/>
          <w:szCs w:val="32"/>
          <w:highlight w:val="none"/>
        </w:rPr>
        <w:t>。</w:t>
      </w:r>
    </w:p>
    <w:p w14:paraId="7753D00C">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187FE523">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464EAC8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0E7E2FB3">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4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4</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39DE14AA">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538E3831">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AE85E24">
      <w:pPr>
        <w:ind w:firstLine="640"/>
        <w:jc w:val="left"/>
        <w:rPr>
          <w:rFonts w:hint="eastAsia" w:ascii="仿宋" w:hAnsi="仿宋" w:eastAsia="仿宋"/>
          <w:sz w:val="32"/>
          <w:szCs w:val="32"/>
          <w:highlight w:val="none"/>
        </w:rPr>
      </w:pPr>
      <w:r>
        <w:rPr>
          <w:rFonts w:hint="eastAsia" w:ascii="仿宋" w:hAnsi="仿宋" w:eastAsia="仿宋"/>
          <w:sz w:val="32"/>
          <w:szCs w:val="32"/>
          <w:highlight w:val="none"/>
        </w:rPr>
        <w:t>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552F31A8">
      <w:pPr>
        <w:ind w:firstLine="640"/>
        <w:jc w:val="left"/>
        <w:rPr>
          <w:rFonts w:ascii="仿宋" w:hAnsi="仿宋" w:eastAsia="仿宋"/>
          <w:sz w:val="32"/>
          <w:szCs w:val="32"/>
          <w:highlight w:val="none"/>
        </w:rPr>
      </w:pPr>
      <w:r>
        <w:rPr>
          <w:rFonts w:hint="eastAsia" w:ascii="仿宋" w:hAnsi="仿宋" w:eastAsia="仿宋"/>
          <w:sz w:val="32"/>
          <w:szCs w:val="32"/>
          <w:highlight w:val="none"/>
        </w:rPr>
        <w:t>同时，将预算项目绩效目标进一步细化为绩效指标和指标值（附预算项目绩效目标申报表）。</w:t>
      </w:r>
    </w:p>
    <w:p w14:paraId="6942A760">
      <w:pPr>
        <w:jc w:val="left"/>
        <w:rPr>
          <w:rFonts w:ascii="仿宋" w:hAnsi="仿宋" w:eastAsia="仿宋"/>
          <w:sz w:val="32"/>
          <w:szCs w:val="32"/>
          <w:highlight w:val="none"/>
        </w:rPr>
      </w:pPr>
    </w:p>
    <w:p w14:paraId="2CC77DF6">
      <w:pPr>
        <w:jc w:val="center"/>
        <w:rPr>
          <w:rFonts w:ascii="仿宋" w:hAnsi="仿宋" w:eastAsia="仿宋"/>
          <w:sz w:val="32"/>
          <w:szCs w:val="32"/>
          <w:highlight w:val="none"/>
        </w:rPr>
      </w:pPr>
    </w:p>
    <w:p w14:paraId="4CF53079">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1109118E">
      <w:pPr>
        <w:ind w:firstLine="640" w:firstLineChars="200"/>
        <w:rPr>
          <w:rFonts w:ascii="仿宋_GB2312" w:eastAsia="仿宋_GB2312"/>
          <w:sz w:val="32"/>
          <w:szCs w:val="32"/>
        </w:rPr>
      </w:pPr>
      <w:r>
        <w:rPr>
          <w:rFonts w:hint="eastAsia" w:ascii="仿宋_GB2312" w:eastAsia="仿宋_GB2312"/>
          <w:sz w:val="32"/>
          <w:szCs w:val="32"/>
        </w:rPr>
        <w:t>一、财政拨款收入：指核算单位从同级财政部门取得的各类财政拨款。</w:t>
      </w:r>
    </w:p>
    <w:p w14:paraId="3ACB8F98">
      <w:pPr>
        <w:ind w:firstLine="640" w:firstLineChars="200"/>
        <w:rPr>
          <w:rFonts w:ascii="仿宋_GB2312" w:eastAsia="仿宋_GB2312"/>
          <w:sz w:val="32"/>
          <w:szCs w:val="32"/>
        </w:rPr>
      </w:pPr>
      <w:r>
        <w:rPr>
          <w:rFonts w:hint="eastAsia" w:ascii="仿宋_GB2312" w:eastAsia="仿宋_GB2312"/>
          <w:sz w:val="32"/>
          <w:szCs w:val="32"/>
        </w:rPr>
        <w:t>二、其他收入：指各单位取得的除财政拨款收入、事业收入、上级补助收入、附属单位上缴收入、经营收入、非同级财政拨款收入、投资收益、捐赠收入、利息收入、租金收入以外的各项收入。</w:t>
      </w:r>
    </w:p>
    <w:p w14:paraId="09F02141">
      <w:pPr>
        <w:ind w:firstLine="640" w:firstLineChars="200"/>
        <w:rPr>
          <w:rFonts w:ascii="仿宋_GB2312" w:eastAsia="仿宋_GB2312"/>
          <w:sz w:val="32"/>
          <w:szCs w:val="32"/>
        </w:rPr>
      </w:pPr>
      <w:r>
        <w:rPr>
          <w:rFonts w:hint="eastAsia" w:ascii="仿宋_GB2312" w:eastAsia="仿宋_GB2312"/>
          <w:sz w:val="32"/>
          <w:szCs w:val="32"/>
        </w:rPr>
        <w:t>三、基本支出：指为保障机构正常运转、完成日常工作任务而发生的人员支出和公用支出等各项支出。</w:t>
      </w:r>
    </w:p>
    <w:p w14:paraId="63CF1A93">
      <w:pPr>
        <w:ind w:firstLine="640" w:firstLineChars="200"/>
        <w:rPr>
          <w:rFonts w:ascii="仿宋_GB2312" w:eastAsia="仿宋_GB2312"/>
          <w:sz w:val="32"/>
          <w:szCs w:val="32"/>
        </w:rPr>
      </w:pPr>
      <w:r>
        <w:rPr>
          <w:rFonts w:hint="eastAsia" w:ascii="仿宋_GB2312" w:eastAsia="仿宋_GB2312"/>
          <w:sz w:val="32"/>
          <w:szCs w:val="32"/>
        </w:rPr>
        <w:t>四、项目支出：指在基本支出之外为完成特定行政工作任务和事业发展目标所发生的各项支出。</w:t>
      </w:r>
    </w:p>
    <w:p w14:paraId="2E928C87">
      <w:pPr>
        <w:ind w:firstLine="640" w:firstLineChars="200"/>
        <w:rPr>
          <w:rFonts w:ascii="仿宋_GB2312" w:eastAsia="仿宋_GB2312"/>
          <w:sz w:val="32"/>
          <w:szCs w:val="32"/>
        </w:rPr>
      </w:pPr>
      <w:r>
        <w:rPr>
          <w:rFonts w:hint="eastAsia" w:ascii="仿宋_GB2312" w:eastAsia="仿宋_GB2312"/>
          <w:sz w:val="32"/>
          <w:szCs w:val="32"/>
        </w:rPr>
        <w:t>五、年初结转和结余：指以前年度尚未完成、结转到本年仍按原规定用途继续使用的资金，或项目已完成等产生的结余资金。</w:t>
      </w:r>
    </w:p>
    <w:p w14:paraId="48DA5FC7">
      <w:pPr>
        <w:ind w:firstLine="640" w:firstLineChars="200"/>
        <w:rPr>
          <w:rFonts w:ascii="仿宋_GB2312" w:eastAsia="仿宋_GB2312"/>
          <w:sz w:val="32"/>
          <w:szCs w:val="32"/>
        </w:rPr>
      </w:pPr>
      <w:r>
        <w:rPr>
          <w:rFonts w:hint="eastAsia" w:ascii="仿宋_GB2312" w:eastAsia="仿宋_GB2312"/>
          <w:sz w:val="32"/>
          <w:szCs w:val="32"/>
        </w:rPr>
        <w:t>六、年末结转和结余：指事业单位按有关规定结转到下年或以后年度继续使用的资金，或项目已完成等产生的结余资金。</w:t>
      </w:r>
    </w:p>
    <w:p w14:paraId="11EF07A8">
      <w:pPr>
        <w:ind w:firstLine="640" w:firstLineChars="200"/>
        <w:rPr>
          <w:rFonts w:ascii="仿宋_GB2312" w:eastAsia="仿宋_GB2312"/>
          <w:sz w:val="32"/>
          <w:szCs w:val="32"/>
        </w:rPr>
      </w:pPr>
      <w:r>
        <w:rPr>
          <w:rFonts w:hint="eastAsia" w:ascii="仿宋_GB2312" w:eastAsia="仿宋_GB2312"/>
          <w:sz w:val="32"/>
          <w:szCs w:val="32"/>
        </w:rPr>
        <w:t>七、“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E226EBF">
      <w:pPr>
        <w:ind w:firstLine="640" w:firstLineChars="200"/>
        <w:rPr>
          <w:rFonts w:ascii="仿宋_GB2312" w:eastAsia="仿宋_GB2312"/>
          <w:sz w:val="32"/>
          <w:szCs w:val="32"/>
        </w:rPr>
      </w:pPr>
      <w:r>
        <w:rPr>
          <w:rFonts w:hint="eastAsia" w:ascii="仿宋_GB2312" w:eastAsia="仿宋_GB2312"/>
          <w:sz w:val="32"/>
          <w:szCs w:val="32"/>
        </w:rPr>
        <w:t>八、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040C2C">
      <w:pPr>
        <w:ind w:firstLine="640" w:firstLineChars="200"/>
        <w:rPr>
          <w:rFonts w:ascii="仿宋_GB2312" w:eastAsia="仿宋_GB2312"/>
          <w:sz w:val="32"/>
          <w:szCs w:val="32"/>
        </w:rPr>
      </w:pPr>
      <w:r>
        <w:rPr>
          <w:rFonts w:hint="eastAsia" w:ascii="仿宋_GB2312" w:eastAsia="仿宋_GB2312"/>
          <w:sz w:val="32"/>
          <w:szCs w:val="32"/>
        </w:rPr>
        <w:t>九、住房公积金支出：指行政事业单位按人力资源和社会保障部、财政部规定的基本工资和津贴补贴以及规定比例为职工缴纳的住房公积金支出。</w:t>
      </w:r>
    </w:p>
    <w:p w14:paraId="0DEFF1E6">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C031637">
      <w:pPr>
        <w:ind w:firstLine="640" w:firstLineChars="200"/>
        <w:rPr>
          <w:rFonts w:ascii="仿宋_GB2312" w:eastAsia="仿宋_GB2312"/>
          <w:sz w:val="32"/>
          <w:szCs w:val="32"/>
        </w:rPr>
      </w:pPr>
      <w:r>
        <w:rPr>
          <w:rFonts w:hint="eastAsia" w:ascii="仿宋_GB2312" w:eastAsia="仿宋_GB2312"/>
          <w:sz w:val="32"/>
          <w:szCs w:val="32"/>
        </w:rPr>
        <w:t>十一、一般公共预算拨款收入：指政府单位从同级财政部门取得的通过当年一般公共预算拨付的资金。</w:t>
      </w:r>
    </w:p>
    <w:p w14:paraId="50ECD0C2">
      <w:pPr>
        <w:ind w:firstLine="640" w:firstLineChars="200"/>
        <w:rPr>
          <w:rFonts w:ascii="仿宋_GB2312" w:eastAsia="仿宋_GB2312"/>
          <w:sz w:val="32"/>
          <w:szCs w:val="32"/>
        </w:rPr>
      </w:pPr>
      <w:r>
        <w:rPr>
          <w:rFonts w:hint="eastAsia" w:ascii="仿宋_GB2312" w:eastAsia="仿宋_GB2312"/>
          <w:sz w:val="32"/>
          <w:szCs w:val="32"/>
        </w:rPr>
        <w:t>十二、事业预算收入：指事业单位开展专业业务活动及辅助活动所取得的现金流入。</w:t>
      </w:r>
    </w:p>
    <w:p w14:paraId="10A495D7">
      <w:pPr>
        <w:ind w:firstLine="640" w:firstLineChars="200"/>
        <w:rPr>
          <w:rFonts w:ascii="仿宋_GB2312" w:eastAsia="仿宋_GB2312"/>
          <w:sz w:val="32"/>
          <w:szCs w:val="32"/>
        </w:rPr>
      </w:pPr>
      <w:r>
        <w:rPr>
          <w:rFonts w:hint="eastAsia" w:ascii="仿宋_GB2312" w:eastAsia="仿宋_GB2312"/>
          <w:sz w:val="32"/>
          <w:szCs w:val="32"/>
        </w:rPr>
        <w:t>十三、经营预算收入：指事业单位在专业业务活动及其辅助活动之外开展非独立核算经营活动取得的现金流入。</w:t>
      </w:r>
    </w:p>
    <w:p w14:paraId="42886637">
      <w:pPr>
        <w:ind w:firstLine="640" w:firstLineChars="200"/>
        <w:rPr>
          <w:rFonts w:ascii="仿宋_GB2312" w:eastAsia="仿宋_GB2312"/>
          <w:sz w:val="32"/>
          <w:szCs w:val="32"/>
        </w:rPr>
      </w:pPr>
      <w:r>
        <w:rPr>
          <w:rFonts w:hint="eastAsia" w:ascii="仿宋_GB2312" w:eastAsia="仿宋_GB2312"/>
          <w:sz w:val="32"/>
          <w:szCs w:val="32"/>
        </w:rPr>
        <w:t>十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5729AE08">
      <w:pPr>
        <w:ind w:firstLine="640" w:firstLineChars="200"/>
        <w:rPr>
          <w:rFonts w:ascii="仿宋_GB2312" w:eastAsia="仿宋_GB2312"/>
          <w:sz w:val="32"/>
          <w:szCs w:val="32"/>
        </w:rPr>
      </w:pPr>
      <w:r>
        <w:rPr>
          <w:rFonts w:hint="eastAsia" w:ascii="仿宋_GB2312" w:eastAsia="仿宋_GB2312"/>
          <w:sz w:val="32"/>
          <w:szCs w:val="32"/>
        </w:rPr>
        <w:t>十五、上缴上级支出：指附属单位上缴上级的支出。</w:t>
      </w:r>
    </w:p>
    <w:p w14:paraId="41F4CA81">
      <w:pPr>
        <w:ind w:firstLine="640" w:firstLineChars="200"/>
        <w:rPr>
          <w:rFonts w:ascii="仿宋_GB2312" w:eastAsia="仿宋_GB2312"/>
          <w:sz w:val="32"/>
          <w:szCs w:val="32"/>
        </w:rPr>
      </w:pPr>
      <w:r>
        <w:rPr>
          <w:rFonts w:hint="eastAsia" w:ascii="仿宋_GB2312" w:eastAsia="仿宋_GB2312"/>
          <w:sz w:val="32"/>
          <w:szCs w:val="32"/>
        </w:rPr>
        <w:t>十六、事业单位经营支出：指事业单位在专业业务活动及其辅助活动之外开展非独立核算经营活动发生的支出。</w:t>
      </w:r>
    </w:p>
    <w:p w14:paraId="220360D8">
      <w:pPr>
        <w:ind w:firstLine="640" w:firstLineChars="200"/>
        <w:rPr>
          <w:rFonts w:ascii="仿宋_GB2312" w:eastAsia="仿宋_GB2312"/>
          <w:sz w:val="32"/>
          <w:szCs w:val="32"/>
        </w:rPr>
      </w:pPr>
      <w:r>
        <w:rPr>
          <w:rFonts w:hint="eastAsia" w:ascii="仿宋_GB2312" w:eastAsia="仿宋_GB2312"/>
          <w:sz w:val="32"/>
          <w:szCs w:val="32"/>
        </w:rPr>
        <w:t>十七、对附属单位补助支出：指对附属单位补助发生的支出。</w:t>
      </w:r>
    </w:p>
    <w:p w14:paraId="33E6D6CE">
      <w:pPr>
        <w:jc w:val="left"/>
        <w:rPr>
          <w:rFonts w:ascii="仿宋_GB2312" w:eastAsia="仿宋_GB2312"/>
          <w:sz w:val="32"/>
          <w:szCs w:val="32"/>
          <w:highlight w:val="none"/>
        </w:rPr>
      </w:pPr>
    </w:p>
    <w:p w14:paraId="63374F7F">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638400D3">
      <w:pPr>
        <w:jc w:val="left"/>
        <w:rPr>
          <w:rFonts w:hint="eastAsia" w:ascii="仿宋" w:hAnsi="仿宋" w:eastAsia="仿宋"/>
          <w:sz w:val="32"/>
          <w:szCs w:val="32"/>
          <w:highlight w:val="none"/>
        </w:rPr>
      </w:pPr>
    </w:p>
    <w:p w14:paraId="5862EE20">
      <w:pPr>
        <w:jc w:val="left"/>
        <w:rPr>
          <w:rFonts w:ascii="仿宋" w:hAnsi="仿宋" w:eastAsia="仿宋"/>
          <w:sz w:val="32"/>
          <w:szCs w:val="32"/>
          <w:highlight w:val="none"/>
        </w:rPr>
      </w:pPr>
    </w:p>
    <w:p w14:paraId="19FC2969">
      <w:pPr>
        <w:jc w:val="left"/>
        <w:rPr>
          <w:rFonts w:ascii="仿宋" w:hAnsi="仿宋" w:eastAsia="仿宋"/>
          <w:sz w:val="32"/>
          <w:szCs w:val="32"/>
          <w:highlight w:val="none"/>
        </w:rPr>
      </w:pPr>
    </w:p>
    <w:p w14:paraId="28AAC7A6">
      <w:pPr>
        <w:jc w:val="left"/>
        <w:rPr>
          <w:rFonts w:ascii="仿宋" w:hAnsi="仿宋" w:eastAsia="仿宋"/>
          <w:sz w:val="32"/>
          <w:szCs w:val="32"/>
          <w:highlight w:val="none"/>
        </w:rPr>
      </w:pPr>
    </w:p>
    <w:p w14:paraId="6BC51450">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98E7CCD">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6BFDE6E3">
      <w:pPr>
        <w:rPr>
          <w:rFonts w:ascii="仿宋" w:hAnsi="仿宋" w:eastAsia="仿宋"/>
          <w:sz w:val="32"/>
          <w:szCs w:val="32"/>
          <w:highlight w:val="none"/>
        </w:rPr>
      </w:pPr>
    </w:p>
    <w:p w14:paraId="16EF69C3">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2OWZhMTQ5NzZlNTQ4OThjOWMyZDBhOWU5YmE4OW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340028"/>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AD52DE"/>
    <w:rsid w:val="20EF71F1"/>
    <w:rsid w:val="219520C8"/>
    <w:rsid w:val="22E670F3"/>
    <w:rsid w:val="2323212D"/>
    <w:rsid w:val="23FA4ECF"/>
    <w:rsid w:val="2527010D"/>
    <w:rsid w:val="26DC2BFA"/>
    <w:rsid w:val="27063D31"/>
    <w:rsid w:val="27742DDB"/>
    <w:rsid w:val="27747EDE"/>
    <w:rsid w:val="277B13CF"/>
    <w:rsid w:val="285B5D80"/>
    <w:rsid w:val="28753BF0"/>
    <w:rsid w:val="28AA47B7"/>
    <w:rsid w:val="28CB641B"/>
    <w:rsid w:val="29207EE3"/>
    <w:rsid w:val="294C55C9"/>
    <w:rsid w:val="2AC832F5"/>
    <w:rsid w:val="2D742D12"/>
    <w:rsid w:val="2E3342C6"/>
    <w:rsid w:val="30BD5485"/>
    <w:rsid w:val="344D4C9B"/>
    <w:rsid w:val="34A905DD"/>
    <w:rsid w:val="36017964"/>
    <w:rsid w:val="36273D08"/>
    <w:rsid w:val="37361A0B"/>
    <w:rsid w:val="38253B59"/>
    <w:rsid w:val="385B501F"/>
    <w:rsid w:val="38DE30B8"/>
    <w:rsid w:val="39284901"/>
    <w:rsid w:val="3A482539"/>
    <w:rsid w:val="3A915046"/>
    <w:rsid w:val="3B611BD5"/>
    <w:rsid w:val="3C4C15D1"/>
    <w:rsid w:val="3CEA5A8A"/>
    <w:rsid w:val="3D897F97"/>
    <w:rsid w:val="3DA7578C"/>
    <w:rsid w:val="3F597259"/>
    <w:rsid w:val="3F6B774D"/>
    <w:rsid w:val="41217217"/>
    <w:rsid w:val="42202CED"/>
    <w:rsid w:val="422866A1"/>
    <w:rsid w:val="426F369B"/>
    <w:rsid w:val="430260DD"/>
    <w:rsid w:val="442476FC"/>
    <w:rsid w:val="442F01B5"/>
    <w:rsid w:val="46C17DAD"/>
    <w:rsid w:val="46F64D5D"/>
    <w:rsid w:val="47680E90"/>
    <w:rsid w:val="49B81F53"/>
    <w:rsid w:val="4A733B8A"/>
    <w:rsid w:val="4AAC7860"/>
    <w:rsid w:val="4D0265B8"/>
    <w:rsid w:val="4D8021B9"/>
    <w:rsid w:val="4DFF6777"/>
    <w:rsid w:val="4EB752BA"/>
    <w:rsid w:val="4ED6365B"/>
    <w:rsid w:val="4F5E1E42"/>
    <w:rsid w:val="4F735000"/>
    <w:rsid w:val="50F75E7E"/>
    <w:rsid w:val="51436F0F"/>
    <w:rsid w:val="51BB428B"/>
    <w:rsid w:val="52DF1D28"/>
    <w:rsid w:val="53655335"/>
    <w:rsid w:val="53A4083B"/>
    <w:rsid w:val="54923E8D"/>
    <w:rsid w:val="54941844"/>
    <w:rsid w:val="5538455E"/>
    <w:rsid w:val="55DE0CCF"/>
    <w:rsid w:val="56206DD9"/>
    <w:rsid w:val="5677771C"/>
    <w:rsid w:val="567F658B"/>
    <w:rsid w:val="56A94595"/>
    <w:rsid w:val="57B7551B"/>
    <w:rsid w:val="580A299B"/>
    <w:rsid w:val="58330B85"/>
    <w:rsid w:val="5B5D76B7"/>
    <w:rsid w:val="5B8E44C5"/>
    <w:rsid w:val="5C982767"/>
    <w:rsid w:val="5CD80EBE"/>
    <w:rsid w:val="5CFA751D"/>
    <w:rsid w:val="5DB8541C"/>
    <w:rsid w:val="5E221344"/>
    <w:rsid w:val="5E32788E"/>
    <w:rsid w:val="5F3E2881"/>
    <w:rsid w:val="5FB128C2"/>
    <w:rsid w:val="60731B65"/>
    <w:rsid w:val="60D72763"/>
    <w:rsid w:val="61525EF8"/>
    <w:rsid w:val="62B666A5"/>
    <w:rsid w:val="62E15FE9"/>
    <w:rsid w:val="65255B39"/>
    <w:rsid w:val="659C7B1A"/>
    <w:rsid w:val="65E847CC"/>
    <w:rsid w:val="67286561"/>
    <w:rsid w:val="68FE43F2"/>
    <w:rsid w:val="691F508E"/>
    <w:rsid w:val="6A340295"/>
    <w:rsid w:val="6A5666B8"/>
    <w:rsid w:val="6C626D3D"/>
    <w:rsid w:val="6DF0400D"/>
    <w:rsid w:val="6E5B22F8"/>
    <w:rsid w:val="6EB92B57"/>
    <w:rsid w:val="70BC1834"/>
    <w:rsid w:val="70EF2762"/>
    <w:rsid w:val="71201EF9"/>
    <w:rsid w:val="716F5053"/>
    <w:rsid w:val="71D91536"/>
    <w:rsid w:val="72080E01"/>
    <w:rsid w:val="729E55FD"/>
    <w:rsid w:val="73D62900"/>
    <w:rsid w:val="73FA7C77"/>
    <w:rsid w:val="744F0BEE"/>
    <w:rsid w:val="74A55A8E"/>
    <w:rsid w:val="7539654A"/>
    <w:rsid w:val="75836739"/>
    <w:rsid w:val="75916F41"/>
    <w:rsid w:val="76C753DE"/>
    <w:rsid w:val="76C775D8"/>
    <w:rsid w:val="77FC6956"/>
    <w:rsid w:val="7A64282A"/>
    <w:rsid w:val="7A8D6ADA"/>
    <w:rsid w:val="7C183F2B"/>
    <w:rsid w:val="7CD763A1"/>
    <w:rsid w:val="7DB366E4"/>
    <w:rsid w:val="7E3B2C6B"/>
    <w:rsid w:val="7E492DA2"/>
    <w:rsid w:val="7EDC1B88"/>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7">
    <w:name w:val="页眉 Char"/>
    <w:basedOn w:val="6"/>
    <w:link w:val="3"/>
    <w:autoRedefine/>
    <w:semiHidden/>
    <w:qFormat/>
    <w:uiPriority w:val="99"/>
    <w:rPr>
      <w:sz w:val="18"/>
      <w:szCs w:val="18"/>
    </w:rPr>
  </w:style>
  <w:style w:type="character" w:customStyle="1" w:styleId="8">
    <w:name w:val="页脚 Char"/>
    <w:basedOn w:val="6"/>
    <w:link w:val="2"/>
    <w:autoRedefine/>
    <w:semiHidden/>
    <w:qFormat/>
    <w:uiPriority w:val="99"/>
    <w:rPr>
      <w:sz w:val="18"/>
      <w:szCs w:val="18"/>
    </w:rPr>
  </w:style>
  <w:style w:type="paragraph" w:styleId="9">
    <w:name w:val="List Paragraph"/>
    <w:basedOn w:val="1"/>
    <w:autoRedefine/>
    <w:qFormat/>
    <w:uiPriority w:val="34"/>
    <w:pPr>
      <w:ind w:firstLine="420" w:firstLineChars="200"/>
    </w:pPr>
  </w:style>
  <w:style w:type="paragraph" w:customStyle="1" w:styleId="10">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3255</Words>
  <Characters>3497</Characters>
  <Lines>19</Lines>
  <Paragraphs>5</Paragraphs>
  <TotalTime>0</TotalTime>
  <ScaleCrop>false</ScaleCrop>
  <LinksUpToDate>false</LinksUpToDate>
  <CharactersWithSpaces>3623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2025-01-24T08:18:34Z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eyJoZGlkIjoiYjhkN2U5MmU4MmM2OTEwMjdjMzJhYTdlYWRiYmFmOGUifQ==</vt:lpwstr>
  </property>
</Properties>
</file>