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635EB7">
      <w:pPr>
        <w:jc w:val="center"/>
        <w:rPr>
          <w:rFonts w:hint="eastAsia" w:ascii="黑体" w:hAnsi="黑体" w:eastAsia="黑体"/>
          <w:sz w:val="44"/>
          <w:szCs w:val="44"/>
          <w:highlight w:val="none"/>
          <w:lang w:val="en-US" w:eastAsia="zh-CN"/>
        </w:rPr>
      </w:pPr>
    </w:p>
    <w:p w14:paraId="249CF9A9">
      <w:pPr>
        <w:jc w:val="center"/>
        <w:rPr>
          <w:rFonts w:hint="eastAsia" w:ascii="黑体" w:hAnsi="黑体" w:eastAsia="黑体"/>
          <w:sz w:val="44"/>
          <w:szCs w:val="44"/>
          <w:highlight w:val="none"/>
          <w:lang w:val="en-US" w:eastAsia="zh-CN"/>
        </w:rPr>
      </w:pPr>
    </w:p>
    <w:p w14:paraId="63696D6D">
      <w:pPr>
        <w:jc w:val="center"/>
        <w:rPr>
          <w:rFonts w:hint="eastAsia" w:ascii="黑体" w:hAnsi="黑体" w:eastAsia="黑体"/>
          <w:sz w:val="44"/>
          <w:szCs w:val="44"/>
          <w:highlight w:val="none"/>
          <w:lang w:val="en-US" w:eastAsia="zh-CN"/>
        </w:rPr>
      </w:pPr>
    </w:p>
    <w:p w14:paraId="4F767D5C">
      <w:pPr>
        <w:jc w:val="center"/>
        <w:rPr>
          <w:rFonts w:hint="eastAsia" w:ascii="黑体" w:hAnsi="黑体" w:eastAsia="黑体"/>
          <w:sz w:val="44"/>
          <w:szCs w:val="44"/>
          <w:highlight w:val="none"/>
          <w:lang w:val="en-US" w:eastAsia="zh-CN"/>
        </w:rPr>
      </w:pPr>
    </w:p>
    <w:p w14:paraId="3E40C821">
      <w:pPr>
        <w:jc w:val="center"/>
        <w:rPr>
          <w:rFonts w:hint="eastAsia" w:ascii="黑体" w:hAnsi="黑体" w:eastAsia="黑体"/>
          <w:sz w:val="44"/>
          <w:szCs w:val="44"/>
          <w:highlight w:val="none"/>
          <w:lang w:val="en-US" w:eastAsia="zh-CN"/>
        </w:rPr>
      </w:pPr>
    </w:p>
    <w:p w14:paraId="6ED663F2">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蛟河市民政局（本级）2025年</w:t>
      </w:r>
    </w:p>
    <w:p w14:paraId="33B1E5C8">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部门预算</w:t>
      </w:r>
    </w:p>
    <w:p w14:paraId="1B8CC6F9">
      <w:pPr>
        <w:jc w:val="center"/>
        <w:rPr>
          <w:rFonts w:hint="eastAsia" w:ascii="黑体" w:hAnsi="黑体" w:eastAsia="黑体"/>
          <w:sz w:val="44"/>
          <w:szCs w:val="44"/>
          <w:highlight w:val="none"/>
        </w:rPr>
      </w:pPr>
    </w:p>
    <w:p w14:paraId="305F3DC2">
      <w:pPr>
        <w:jc w:val="center"/>
        <w:rPr>
          <w:rFonts w:hint="eastAsia" w:ascii="黑体" w:hAnsi="黑体" w:eastAsia="黑体"/>
          <w:sz w:val="44"/>
          <w:szCs w:val="44"/>
          <w:highlight w:val="none"/>
        </w:rPr>
      </w:pPr>
    </w:p>
    <w:p w14:paraId="6C47EBC9">
      <w:pPr>
        <w:jc w:val="center"/>
        <w:rPr>
          <w:rFonts w:hint="eastAsia" w:ascii="黑体" w:hAnsi="黑体" w:eastAsia="黑体"/>
          <w:sz w:val="44"/>
          <w:szCs w:val="44"/>
          <w:highlight w:val="none"/>
        </w:rPr>
      </w:pPr>
    </w:p>
    <w:p w14:paraId="1133A4D2">
      <w:pPr>
        <w:jc w:val="center"/>
        <w:rPr>
          <w:rFonts w:hint="eastAsia" w:ascii="黑体" w:hAnsi="黑体" w:eastAsia="黑体"/>
          <w:sz w:val="44"/>
          <w:szCs w:val="44"/>
          <w:highlight w:val="none"/>
        </w:rPr>
      </w:pPr>
    </w:p>
    <w:p w14:paraId="32D32E37">
      <w:pPr>
        <w:jc w:val="center"/>
        <w:rPr>
          <w:rFonts w:hint="eastAsia" w:ascii="黑体" w:hAnsi="黑体" w:eastAsia="黑体"/>
          <w:sz w:val="44"/>
          <w:szCs w:val="44"/>
          <w:highlight w:val="none"/>
        </w:rPr>
      </w:pPr>
    </w:p>
    <w:p w14:paraId="34C4C41C">
      <w:pPr>
        <w:jc w:val="center"/>
        <w:rPr>
          <w:rFonts w:hint="eastAsia" w:ascii="黑体" w:hAnsi="黑体" w:eastAsia="黑体"/>
          <w:sz w:val="44"/>
          <w:szCs w:val="44"/>
          <w:highlight w:val="none"/>
        </w:rPr>
      </w:pPr>
    </w:p>
    <w:p w14:paraId="443EA43B">
      <w:pPr>
        <w:jc w:val="center"/>
        <w:rPr>
          <w:rFonts w:hint="eastAsia" w:ascii="黑体" w:hAnsi="黑体" w:eastAsia="黑体"/>
          <w:sz w:val="44"/>
          <w:szCs w:val="44"/>
          <w:highlight w:val="none"/>
        </w:rPr>
      </w:pPr>
    </w:p>
    <w:p w14:paraId="69F96B3C">
      <w:pPr>
        <w:jc w:val="center"/>
        <w:rPr>
          <w:rFonts w:hint="eastAsia" w:ascii="黑体" w:hAnsi="黑体" w:eastAsia="黑体"/>
          <w:sz w:val="44"/>
          <w:szCs w:val="44"/>
          <w:highlight w:val="none"/>
        </w:rPr>
      </w:pPr>
    </w:p>
    <w:p w14:paraId="6C8C30FF">
      <w:pPr>
        <w:jc w:val="center"/>
        <w:rPr>
          <w:rFonts w:hint="eastAsia" w:ascii="黑体" w:hAnsi="黑体" w:eastAsia="黑体"/>
          <w:sz w:val="44"/>
          <w:szCs w:val="44"/>
          <w:highlight w:val="none"/>
        </w:rPr>
      </w:pPr>
    </w:p>
    <w:p w14:paraId="0999BCEE">
      <w:pPr>
        <w:jc w:val="center"/>
        <w:rPr>
          <w:rFonts w:hint="eastAsia" w:ascii="黑体" w:hAnsi="黑体" w:eastAsia="黑体"/>
          <w:sz w:val="44"/>
          <w:szCs w:val="44"/>
          <w:highlight w:val="none"/>
        </w:rPr>
      </w:pPr>
    </w:p>
    <w:p w14:paraId="7485D812">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二〇二五年一月十九日</w:t>
      </w:r>
    </w:p>
    <w:p w14:paraId="7C42D42F">
      <w:pPr>
        <w:jc w:val="center"/>
        <w:rPr>
          <w:rFonts w:hint="eastAsia" w:ascii="黑体" w:hAnsi="黑体" w:eastAsia="黑体"/>
          <w:sz w:val="44"/>
          <w:szCs w:val="44"/>
          <w:highlight w:val="none"/>
        </w:rPr>
      </w:pPr>
    </w:p>
    <w:p w14:paraId="19F0CBF5">
      <w:pPr>
        <w:jc w:val="center"/>
        <w:rPr>
          <w:rFonts w:hint="eastAsia" w:ascii="黑体" w:hAnsi="黑体" w:eastAsia="黑体"/>
          <w:sz w:val="44"/>
          <w:szCs w:val="44"/>
          <w:highlight w:val="none"/>
        </w:rPr>
      </w:pPr>
    </w:p>
    <w:p w14:paraId="45853EA4">
      <w:pPr>
        <w:jc w:val="center"/>
        <w:rPr>
          <w:rFonts w:hint="eastAsia" w:ascii="黑体" w:hAnsi="黑体" w:eastAsia="黑体"/>
          <w:sz w:val="44"/>
          <w:szCs w:val="44"/>
          <w:highlight w:val="none"/>
        </w:rPr>
      </w:pPr>
    </w:p>
    <w:p w14:paraId="0461ACCD">
      <w:pPr>
        <w:jc w:val="center"/>
        <w:rPr>
          <w:rFonts w:hint="eastAsia" w:ascii="黑体" w:hAnsi="黑体" w:eastAsia="黑体"/>
          <w:sz w:val="44"/>
          <w:szCs w:val="44"/>
          <w:highlight w:val="none"/>
        </w:rPr>
      </w:pPr>
    </w:p>
    <w:p w14:paraId="6BC95C0D">
      <w:pPr>
        <w:jc w:val="center"/>
        <w:rPr>
          <w:rFonts w:hint="eastAsia" w:ascii="黑体" w:hAnsi="黑体" w:eastAsia="黑体"/>
          <w:sz w:val="44"/>
          <w:szCs w:val="44"/>
          <w:highlight w:val="none"/>
        </w:rPr>
      </w:pPr>
    </w:p>
    <w:p w14:paraId="1005AB79">
      <w:pPr>
        <w:jc w:val="center"/>
        <w:rPr>
          <w:rFonts w:hint="eastAsia" w:ascii="黑体" w:hAnsi="黑体" w:eastAsia="黑体"/>
          <w:sz w:val="44"/>
          <w:szCs w:val="44"/>
          <w:highlight w:val="none"/>
        </w:rPr>
      </w:pPr>
    </w:p>
    <w:p w14:paraId="0B4EC9ED">
      <w:pPr>
        <w:jc w:val="center"/>
        <w:rPr>
          <w:rFonts w:ascii="黑体" w:hAnsi="黑体" w:eastAsia="黑体"/>
          <w:sz w:val="44"/>
          <w:szCs w:val="44"/>
          <w:highlight w:val="none"/>
        </w:rPr>
      </w:pPr>
      <w:r>
        <w:rPr>
          <w:rFonts w:hint="eastAsia" w:ascii="黑体" w:hAnsi="黑体" w:eastAsia="黑体"/>
          <w:sz w:val="44"/>
          <w:szCs w:val="44"/>
          <w:highlight w:val="none"/>
          <w:lang w:eastAsia="zh-CN"/>
        </w:rPr>
        <w:t>蛟河市民政局202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14:paraId="1818D507">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01C31D34">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5F96078E">
      <w:pPr>
        <w:pStyle w:val="9"/>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72419ED7">
      <w:pPr>
        <w:pStyle w:val="9"/>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73F07028">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41125B1C">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7F1EA598">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31C1F980">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60F9AD0F">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B0544BF">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CF9ED5C">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7BFA7860">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2770CBDC">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1CA64A84">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76146FE3">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110909F6">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65E6E112">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554CF30D">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21419F54">
      <w:pPr>
        <w:rPr>
          <w:rFonts w:ascii="仿宋" w:hAnsi="仿宋" w:eastAsia="仿宋"/>
          <w:sz w:val="32"/>
          <w:szCs w:val="32"/>
          <w:highlight w:val="none"/>
        </w:rPr>
      </w:pPr>
    </w:p>
    <w:p w14:paraId="7B6EC0DD">
      <w:pPr>
        <w:rPr>
          <w:rFonts w:ascii="仿宋" w:hAnsi="仿宋" w:eastAsia="仿宋"/>
          <w:sz w:val="32"/>
          <w:szCs w:val="32"/>
          <w:highlight w:val="none"/>
        </w:rPr>
      </w:pPr>
    </w:p>
    <w:p w14:paraId="09DE1888">
      <w:pPr>
        <w:rPr>
          <w:rFonts w:ascii="仿宋" w:hAnsi="仿宋" w:eastAsia="仿宋"/>
          <w:sz w:val="32"/>
          <w:szCs w:val="32"/>
          <w:highlight w:val="none"/>
        </w:rPr>
      </w:pPr>
    </w:p>
    <w:p w14:paraId="3492B98E">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0EE5B8CB">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D7BDCEE">
      <w:pPr>
        <w:jc w:val="left"/>
        <w:rPr>
          <w:rFonts w:ascii="仿宋" w:hAnsi="仿宋" w:eastAsia="仿宋"/>
          <w:sz w:val="32"/>
          <w:szCs w:val="32"/>
        </w:rPr>
      </w:pPr>
      <w:r>
        <w:rPr>
          <w:rFonts w:hint="eastAsia" w:ascii="仿宋" w:hAnsi="仿宋" w:eastAsia="仿宋"/>
          <w:sz w:val="32"/>
          <w:szCs w:val="32"/>
          <w:highlight w:val="none"/>
        </w:rPr>
        <w:t xml:space="preserve">   </w:t>
      </w:r>
      <w:r>
        <w:rPr>
          <w:rFonts w:hint="eastAsia" w:ascii="仿宋" w:hAnsi="仿宋" w:eastAsia="仿宋"/>
          <w:sz w:val="32"/>
          <w:szCs w:val="32"/>
        </w:rPr>
        <w:t xml:space="preserve"> 一、主要职能</w:t>
      </w:r>
    </w:p>
    <w:p w14:paraId="12C23C5F">
      <w:pPr>
        <w:pStyle w:val="11"/>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名称：蛟河市民政局</w:t>
      </w:r>
    </w:p>
    <w:p w14:paraId="088B43A8">
      <w:pPr>
        <w:pStyle w:val="11"/>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成立时间：1965年</w:t>
      </w:r>
    </w:p>
    <w:p w14:paraId="3A329DF1">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bCs/>
          <w:sz w:val="32"/>
          <w:szCs w:val="32"/>
        </w:rPr>
        <w:t>单位性质</w:t>
      </w:r>
      <w:r>
        <w:rPr>
          <w:rFonts w:hint="eastAsia" w:ascii="仿宋" w:hAnsi="仿宋" w:eastAsia="仿宋"/>
          <w:sz w:val="32"/>
          <w:szCs w:val="32"/>
        </w:rPr>
        <w:t>：蛟河市</w:t>
      </w:r>
      <w:r>
        <w:rPr>
          <w:rFonts w:hint="eastAsia" w:ascii="仿宋" w:hAnsi="仿宋" w:eastAsia="仿宋" w:cs="Arial"/>
          <w:color w:val="333333"/>
          <w:sz w:val="32"/>
          <w:szCs w:val="32"/>
        </w:rPr>
        <w:t>民政局，是政府主管社会行政事务的政府职能部门。履行着“上为政府分忧，下为群众解愁”的重要职能，主管民间组织管理、基层政权和社区建设、城乡居民最低生活保障、特困人员供养、社会福利和社会事务、社会救助、行政区划和地名管理等工作。</w:t>
      </w:r>
    </w:p>
    <w:p w14:paraId="1C1CC664">
      <w:pPr>
        <w:pStyle w:val="4"/>
        <w:shd w:val="clear" w:color="auto" w:fill="FFFFFF"/>
        <w:spacing w:before="150" w:after="150" w:line="435" w:lineRule="atLeast"/>
        <w:ind w:firstLine="640" w:firstLineChars="200"/>
        <w:rPr>
          <w:rFonts w:ascii="仿宋" w:hAnsi="仿宋" w:eastAsia="仿宋"/>
          <w:bCs/>
          <w:sz w:val="32"/>
          <w:szCs w:val="32"/>
        </w:rPr>
      </w:pPr>
      <w:r>
        <w:rPr>
          <w:rFonts w:hint="eastAsia" w:ascii="仿宋" w:hAnsi="仿宋" w:eastAsia="仿宋"/>
          <w:bCs/>
          <w:sz w:val="32"/>
          <w:szCs w:val="32"/>
        </w:rPr>
        <w:t>主要职能：</w:t>
      </w:r>
    </w:p>
    <w:p w14:paraId="34C15B0D">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rPr>
        <w:t>1、贯彻执行党和国家关于民政工作方面的法律、法规和方针政策，研究和制定民政事业发展规划；指导民政工作的改革和发展。</w:t>
      </w:r>
    </w:p>
    <w:p w14:paraId="68BCDD8E">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rPr>
        <w:t>2、负责全市民政资金的管理，监督民政资金的使用和内部审计，负责民政统计工作。</w:t>
      </w:r>
    </w:p>
    <w:p w14:paraId="116748B9">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rPr>
        <w:t>3、拟订全市社会救助政策规划和标准；负责城乡居民最低生活保障对象、临时救助对象、特困供养人员、孤儿与生活无着的人员救助和城市低收入家庭认定、管理工作；推进城乡社会救助体系建设。</w:t>
      </w:r>
    </w:p>
    <w:p w14:paraId="002BF5DE">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rPr>
        <w:t>4、负责社会团体和民办非企业单位的审批、登记、设立、管理和监督的工作。</w:t>
      </w:r>
    </w:p>
    <w:p w14:paraId="57D81950">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rPr>
        <w:t>5、拟订行政区划总体规划。负责村级行政区域的设立、撤销、调整、更名和界线变更及乡镇以上行政区域设立、撤销、调整、变更的呈报工作；负责行政区域界线的勘定管理工作。</w:t>
      </w:r>
    </w:p>
    <w:p w14:paraId="0D2B98EF">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rPr>
        <w:t>6、负责市区地名的命名、更名、审核报批和管理工作；规范全市地名标志的设置和管理；负责市内标准地名图书资料的审定。</w:t>
      </w:r>
    </w:p>
    <w:p w14:paraId="280851F5">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rPr>
        <w:t>7、贯彻执行国家婚姻登记、殡葬管理和儿童收养政策并组织实施；指导婚俗和殡葬改革；负责婚姻登记、殡葬、儿童收养、救助服务机构的管理及指导工作；负责组织困境儿童、留守儿童的福利和关爱保护工作。</w:t>
      </w:r>
    </w:p>
    <w:p w14:paraId="3FD74F32">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lang w:val="en-US" w:eastAsia="zh-CN"/>
        </w:rPr>
        <w:t>8</w:t>
      </w:r>
      <w:r>
        <w:rPr>
          <w:rFonts w:hint="eastAsia" w:ascii="仿宋" w:hAnsi="仿宋" w:eastAsia="仿宋" w:cs="Arial"/>
          <w:color w:val="333333"/>
          <w:sz w:val="32"/>
          <w:szCs w:val="32"/>
        </w:rPr>
        <w:t>、制定社会福利社会化的有关政策并组织实施。承担孤儿、特困供养人员等特殊困难群体权益保护的行政管理工作；指导社会福利机构的管理工作。</w:t>
      </w:r>
    </w:p>
    <w:p w14:paraId="2A055F9B">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lang w:val="en-US" w:eastAsia="zh-CN"/>
        </w:rPr>
        <w:t>9</w:t>
      </w:r>
      <w:r>
        <w:rPr>
          <w:rFonts w:hint="eastAsia" w:ascii="仿宋" w:hAnsi="仿宋" w:eastAsia="仿宋" w:cs="Arial"/>
          <w:color w:val="333333"/>
          <w:sz w:val="32"/>
          <w:szCs w:val="32"/>
        </w:rPr>
        <w:t>、负责社会福利有奖募捐工作，促进慈善事业发展。按照省下达的福利彩票发展规划，制定地方管理办法并组织实施，做好福利资金的管理和使用工作。</w:t>
      </w:r>
    </w:p>
    <w:p w14:paraId="6602DE93">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rPr>
        <w:t>1</w:t>
      </w:r>
      <w:r>
        <w:rPr>
          <w:rFonts w:hint="eastAsia" w:ascii="仿宋" w:hAnsi="仿宋" w:eastAsia="仿宋" w:cs="Arial"/>
          <w:color w:val="333333"/>
          <w:sz w:val="32"/>
          <w:szCs w:val="32"/>
          <w:lang w:val="en-US" w:eastAsia="zh-CN"/>
        </w:rPr>
        <w:t>0</w:t>
      </w:r>
      <w:r>
        <w:rPr>
          <w:rFonts w:hint="eastAsia" w:ascii="仿宋" w:hAnsi="仿宋" w:eastAsia="仿宋" w:cs="Arial"/>
          <w:color w:val="333333"/>
          <w:sz w:val="32"/>
          <w:szCs w:val="32"/>
        </w:rPr>
        <w:t>、承担行业领域的安全生产管理，指导督促企事业单位加强安全管理。依照有关法律、法规的规定履行安全生产监督管理职责，开展监管执法工作等职责。</w:t>
      </w:r>
    </w:p>
    <w:p w14:paraId="023B387B">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rPr>
        <w:t>1</w:t>
      </w:r>
      <w:r>
        <w:rPr>
          <w:rFonts w:hint="eastAsia" w:ascii="仿宋" w:hAnsi="仿宋" w:eastAsia="仿宋" w:cs="Arial"/>
          <w:color w:val="333333"/>
          <w:sz w:val="32"/>
          <w:szCs w:val="32"/>
          <w:lang w:val="en-US" w:eastAsia="zh-CN"/>
        </w:rPr>
        <w:t>1</w:t>
      </w:r>
      <w:r>
        <w:rPr>
          <w:rFonts w:hint="eastAsia" w:ascii="仿宋" w:hAnsi="仿宋" w:eastAsia="仿宋" w:cs="Arial"/>
          <w:color w:val="333333"/>
          <w:sz w:val="32"/>
          <w:szCs w:val="32"/>
        </w:rPr>
        <w:t>、市民政局负责统筹推进、督促指导、监督管理养老服务工作，承担老年人福利和特殊困难老年人救助工作。负责拟定应对人口老龄化、医养结合政策措施，综合协调、督促指导、组织推进老龄事业发展，承担老年疾病防治、老年人医疗照护、老年人心理健康与关怀服务等老年健康工作。</w:t>
      </w:r>
    </w:p>
    <w:p w14:paraId="5DC1456A">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rPr>
        <w:t>1</w:t>
      </w:r>
      <w:r>
        <w:rPr>
          <w:rFonts w:hint="eastAsia" w:ascii="仿宋" w:hAnsi="仿宋" w:eastAsia="仿宋" w:cs="Arial"/>
          <w:color w:val="333333"/>
          <w:sz w:val="32"/>
          <w:szCs w:val="32"/>
          <w:lang w:val="en-US" w:eastAsia="zh-CN"/>
        </w:rPr>
        <w:t>2</w:t>
      </w:r>
      <w:r>
        <w:rPr>
          <w:rFonts w:hint="eastAsia" w:ascii="仿宋" w:hAnsi="仿宋" w:eastAsia="仿宋" w:cs="Arial"/>
          <w:color w:val="333333"/>
          <w:sz w:val="32"/>
          <w:szCs w:val="32"/>
        </w:rPr>
        <w:t>、承办市委、市政府交办的其他任务。</w:t>
      </w:r>
    </w:p>
    <w:p w14:paraId="375D2E6D">
      <w:pPr>
        <w:pStyle w:val="11"/>
        <w:widowControl/>
        <w:spacing w:line="620" w:lineRule="exact"/>
        <w:contextualSpacing/>
        <w:rPr>
          <w:rFonts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cs="Arial"/>
          <w:color w:val="333333"/>
          <w:sz w:val="32"/>
          <w:szCs w:val="32"/>
        </w:rPr>
        <w:t>民间组织管理、基层政权和社区建设、城乡居民最低生活保障、特困人员供养、社会福利和社会事务、社会救助、行政区划和地名管理等工作</w:t>
      </w:r>
      <w:r>
        <w:rPr>
          <w:rFonts w:hint="eastAsia" w:ascii="仿宋" w:hAnsi="仿宋" w:eastAsia="仿宋"/>
          <w:kern w:val="0"/>
          <w:sz w:val="32"/>
          <w:szCs w:val="32"/>
        </w:rPr>
        <w:t>。</w:t>
      </w:r>
    </w:p>
    <w:p w14:paraId="72A273C1">
      <w:pPr>
        <w:jc w:val="left"/>
        <w:rPr>
          <w:rFonts w:ascii="仿宋" w:hAnsi="仿宋" w:eastAsia="仿宋"/>
          <w:sz w:val="32"/>
          <w:szCs w:val="32"/>
        </w:rPr>
      </w:pPr>
      <w:r>
        <w:rPr>
          <w:rFonts w:hint="eastAsia" w:ascii="仿宋" w:hAnsi="仿宋" w:eastAsia="仿宋"/>
          <w:sz w:val="32"/>
          <w:szCs w:val="32"/>
        </w:rPr>
        <w:t xml:space="preserve">    二、机构设置</w:t>
      </w:r>
    </w:p>
    <w:p w14:paraId="37380E2E">
      <w:pPr>
        <w:autoSpaceDE w:val="0"/>
        <w:autoSpaceDN w:val="0"/>
        <w:adjustRightInd w:val="0"/>
        <w:spacing w:line="640" w:lineRule="exact"/>
        <w:ind w:firstLine="640" w:firstLineChars="200"/>
        <w:jc w:val="left"/>
        <w:rPr>
          <w:rFonts w:ascii="仿宋" w:hAnsi="仿宋" w:eastAsia="仿宋"/>
          <w:color w:val="444444"/>
          <w:sz w:val="32"/>
          <w:szCs w:val="32"/>
        </w:rPr>
      </w:pPr>
      <w:r>
        <w:rPr>
          <w:rFonts w:hint="eastAsia" w:ascii="仿宋" w:hAnsi="仿宋" w:eastAsia="仿宋" w:cs="Arial"/>
          <w:color w:val="333333"/>
          <w:sz w:val="32"/>
          <w:szCs w:val="32"/>
        </w:rPr>
        <w:t>机构设置包括：</w:t>
      </w:r>
      <w:r>
        <w:rPr>
          <w:rFonts w:hint="eastAsia" w:ascii="仿宋" w:hAnsi="仿宋" w:eastAsia="仿宋" w:cs="仿宋"/>
          <w:kern w:val="0"/>
          <w:sz w:val="32"/>
          <w:szCs w:val="32"/>
        </w:rPr>
        <w:t>根据上述职责，蛟河市民政局内设以下机构，分别为</w:t>
      </w:r>
      <w:r>
        <w:rPr>
          <w:rFonts w:hint="eastAsia" w:ascii="仿宋" w:hAnsi="仿宋" w:eastAsia="仿宋"/>
          <w:color w:val="444444"/>
          <w:sz w:val="32"/>
          <w:szCs w:val="32"/>
        </w:rPr>
        <w:t>综合科、民政科（行政审批办公室）、福利慈善科4个科室。</w:t>
      </w:r>
    </w:p>
    <w:p w14:paraId="5896155C">
      <w:pPr>
        <w:spacing w:line="640" w:lineRule="exact"/>
        <w:ind w:firstLine="640" w:firstLineChars="200"/>
        <w:rPr>
          <w:rFonts w:ascii="仿宋_GB2312" w:eastAsia="仿宋_GB2312"/>
          <w:color w:val="444444"/>
          <w:sz w:val="28"/>
          <w:szCs w:val="28"/>
        </w:rPr>
      </w:pPr>
      <w:r>
        <w:rPr>
          <w:rFonts w:hint="eastAsia" w:ascii="仿宋_GB2312" w:eastAsia="仿宋_GB2312" w:cs="仿宋"/>
          <w:kern w:val="0"/>
          <w:sz w:val="32"/>
          <w:szCs w:val="32"/>
        </w:rPr>
        <w:t>下设事业单位分别为</w:t>
      </w:r>
      <w:r>
        <w:rPr>
          <w:rFonts w:hint="eastAsia" w:ascii="仿宋_GB2312" w:eastAsia="仿宋_GB2312"/>
          <w:color w:val="444444"/>
          <w:sz w:val="28"/>
          <w:szCs w:val="28"/>
        </w:rPr>
        <w:t>：</w:t>
      </w:r>
    </w:p>
    <w:p w14:paraId="53CD33EE">
      <w:pPr>
        <w:spacing w:line="640" w:lineRule="exact"/>
        <w:ind w:firstLine="560"/>
        <w:rPr>
          <w:rFonts w:ascii="仿宋" w:hAnsi="仿宋" w:eastAsia="仿宋"/>
          <w:color w:val="444444"/>
          <w:sz w:val="32"/>
          <w:szCs w:val="32"/>
        </w:rPr>
      </w:pPr>
      <w:r>
        <w:rPr>
          <w:rFonts w:ascii="仿宋" w:hAnsi="仿宋" w:eastAsia="仿宋"/>
          <w:color w:val="444444"/>
          <w:sz w:val="32"/>
          <w:szCs w:val="32"/>
        </w:rPr>
        <w:t>1</w:t>
      </w:r>
      <w:r>
        <w:rPr>
          <w:rFonts w:hint="eastAsia" w:ascii="仿宋" w:hAnsi="仿宋" w:eastAsia="仿宋"/>
          <w:color w:val="444444"/>
          <w:sz w:val="32"/>
          <w:szCs w:val="32"/>
        </w:rPr>
        <w:t>、蛟河市社会救助事业中心</w:t>
      </w:r>
    </w:p>
    <w:p w14:paraId="19269F1B">
      <w:pPr>
        <w:spacing w:line="640" w:lineRule="exact"/>
        <w:ind w:firstLine="560"/>
        <w:rPr>
          <w:rFonts w:ascii="仿宋" w:hAnsi="仿宋" w:eastAsia="仿宋"/>
          <w:color w:val="444444"/>
          <w:sz w:val="32"/>
          <w:szCs w:val="32"/>
        </w:rPr>
      </w:pPr>
      <w:r>
        <w:rPr>
          <w:rFonts w:ascii="仿宋" w:hAnsi="仿宋" w:eastAsia="仿宋"/>
          <w:color w:val="444444"/>
          <w:sz w:val="32"/>
          <w:szCs w:val="32"/>
        </w:rPr>
        <w:t>2</w:t>
      </w:r>
      <w:r>
        <w:rPr>
          <w:rFonts w:hint="eastAsia" w:ascii="仿宋" w:hAnsi="仿宋" w:eastAsia="仿宋"/>
          <w:color w:val="444444"/>
          <w:sz w:val="32"/>
          <w:szCs w:val="32"/>
        </w:rPr>
        <w:t>、蛟河市救助管理站</w:t>
      </w:r>
    </w:p>
    <w:p w14:paraId="56913934">
      <w:pPr>
        <w:spacing w:line="640" w:lineRule="exact"/>
        <w:ind w:firstLine="560"/>
        <w:rPr>
          <w:rFonts w:ascii="仿宋" w:hAnsi="仿宋" w:eastAsia="仿宋"/>
          <w:color w:val="444444"/>
          <w:sz w:val="32"/>
          <w:szCs w:val="32"/>
        </w:rPr>
      </w:pPr>
      <w:r>
        <w:rPr>
          <w:rFonts w:ascii="仿宋" w:hAnsi="仿宋" w:eastAsia="仿宋"/>
          <w:color w:val="444444"/>
          <w:sz w:val="32"/>
          <w:szCs w:val="32"/>
        </w:rPr>
        <w:t>3</w:t>
      </w:r>
      <w:r>
        <w:rPr>
          <w:rFonts w:hint="eastAsia" w:ascii="仿宋" w:hAnsi="仿宋" w:eastAsia="仿宋"/>
          <w:color w:val="444444"/>
          <w:sz w:val="32"/>
          <w:szCs w:val="32"/>
        </w:rPr>
        <w:t>、蛟河市民政局婚姻登记处</w:t>
      </w:r>
    </w:p>
    <w:p w14:paraId="0AE6137C">
      <w:pPr>
        <w:spacing w:line="640" w:lineRule="exact"/>
        <w:ind w:firstLine="560"/>
        <w:rPr>
          <w:rFonts w:hint="eastAsia" w:ascii="仿宋" w:hAnsi="仿宋" w:eastAsia="仿宋"/>
          <w:color w:val="444444"/>
          <w:sz w:val="32"/>
          <w:szCs w:val="32"/>
        </w:rPr>
      </w:pPr>
      <w:r>
        <w:rPr>
          <w:rFonts w:hint="eastAsia" w:ascii="仿宋" w:hAnsi="仿宋" w:eastAsia="仿宋"/>
          <w:color w:val="444444"/>
          <w:sz w:val="32"/>
          <w:szCs w:val="32"/>
        </w:rPr>
        <w:t>4、蛟河市殡葬管理所</w:t>
      </w:r>
    </w:p>
    <w:p w14:paraId="5B412BFD">
      <w:pPr>
        <w:spacing w:line="640" w:lineRule="exact"/>
        <w:ind w:firstLine="560"/>
        <w:rPr>
          <w:rFonts w:hint="default" w:ascii="仿宋" w:hAnsi="仿宋" w:eastAsia="仿宋"/>
          <w:color w:val="444444"/>
          <w:sz w:val="32"/>
          <w:szCs w:val="32"/>
          <w:lang w:val="en-US" w:eastAsia="zh-CN"/>
        </w:rPr>
      </w:pPr>
      <w:r>
        <w:rPr>
          <w:rFonts w:hint="eastAsia" w:ascii="仿宋" w:hAnsi="仿宋" w:eastAsia="仿宋"/>
          <w:color w:val="444444"/>
          <w:sz w:val="32"/>
          <w:szCs w:val="32"/>
          <w:lang w:val="en-US" w:eastAsia="zh-CN"/>
        </w:rPr>
        <w:t>5、蛟河市老龄工作服务中心</w:t>
      </w:r>
    </w:p>
    <w:p w14:paraId="50537F60">
      <w:pPr>
        <w:ind w:firstLine="640" w:firstLineChars="200"/>
        <w:jc w:val="left"/>
        <w:rPr>
          <w:rFonts w:ascii="仿宋" w:hAnsi="仿宋" w:eastAsia="仿宋"/>
          <w:sz w:val="32"/>
          <w:szCs w:val="32"/>
        </w:rPr>
      </w:pPr>
      <w:r>
        <w:rPr>
          <w:rFonts w:hint="eastAsia" w:ascii="仿宋" w:hAnsi="仿宋" w:eastAsia="仿宋"/>
          <w:color w:val="444444"/>
          <w:sz w:val="32"/>
          <w:szCs w:val="32"/>
        </w:rPr>
        <w:t>注：以上单位均为民政局所属的独立核算事业单位。纳入本年度预算编制范围的单位有：蛟河市民政局（本级）、蛟河市社会救助事业中心、蛟河市救助管理站、蛟河市民政局婚姻登记处、蛟河市殡葬管理所</w:t>
      </w:r>
      <w:r>
        <w:rPr>
          <w:rFonts w:hint="eastAsia" w:ascii="仿宋" w:hAnsi="仿宋" w:eastAsia="仿宋"/>
          <w:color w:val="444444"/>
          <w:sz w:val="32"/>
          <w:szCs w:val="32"/>
          <w:lang w:eastAsia="zh-CN"/>
        </w:rPr>
        <w:t>、</w:t>
      </w:r>
      <w:r>
        <w:rPr>
          <w:rFonts w:hint="eastAsia" w:ascii="仿宋" w:hAnsi="仿宋" w:eastAsia="仿宋"/>
          <w:color w:val="444444"/>
          <w:sz w:val="32"/>
          <w:szCs w:val="32"/>
          <w:lang w:val="en-US" w:eastAsia="zh-CN"/>
        </w:rPr>
        <w:t>蛟河市老龄工作服务中心</w:t>
      </w:r>
      <w:r>
        <w:rPr>
          <w:rFonts w:hint="eastAsia" w:ascii="仿宋" w:hAnsi="仿宋" w:eastAsia="仿宋"/>
          <w:color w:val="444444"/>
          <w:sz w:val="32"/>
          <w:szCs w:val="32"/>
        </w:rPr>
        <w:t>。</w:t>
      </w:r>
    </w:p>
    <w:p w14:paraId="2B1F6477">
      <w:pPr>
        <w:pStyle w:val="13"/>
        <w:ind w:firstLine="627" w:firstLineChars="196"/>
        <w:rPr>
          <w:rFonts w:hint="eastAsia" w:ascii="仿宋" w:hAnsi="仿宋" w:eastAsia="仿宋" w:cstheme="minorBidi"/>
          <w:color w:val="444444"/>
          <w:kern w:val="2"/>
          <w:sz w:val="32"/>
          <w:szCs w:val="32"/>
          <w:lang w:val="en-US" w:eastAsia="zh-CN" w:bidi="ar-SA"/>
        </w:rPr>
      </w:pPr>
      <w:r>
        <w:rPr>
          <w:rFonts w:hint="eastAsia" w:ascii="仿宋" w:hAnsi="仿宋" w:eastAsia="仿宋" w:cstheme="minorBidi"/>
          <w:color w:val="444444"/>
          <w:kern w:val="2"/>
          <w:sz w:val="32"/>
          <w:szCs w:val="32"/>
          <w:lang w:val="en-US" w:eastAsia="zh-CN" w:bidi="ar-SA"/>
        </w:rPr>
        <w:t>人员情况：在职人员10人，编制数11人，领导职数3个。</w:t>
      </w:r>
    </w:p>
    <w:p w14:paraId="30708DE3">
      <w:pPr>
        <w:jc w:val="left"/>
        <w:rPr>
          <w:rFonts w:ascii="仿宋" w:hAnsi="仿宋" w:eastAsia="仿宋"/>
          <w:sz w:val="32"/>
          <w:szCs w:val="32"/>
          <w:highlight w:val="none"/>
        </w:rPr>
      </w:pPr>
    </w:p>
    <w:p w14:paraId="4D390A07">
      <w:pPr>
        <w:jc w:val="left"/>
        <w:rPr>
          <w:rFonts w:ascii="仿宋" w:hAnsi="仿宋" w:eastAsia="仿宋"/>
          <w:sz w:val="32"/>
          <w:szCs w:val="32"/>
          <w:highlight w:val="none"/>
        </w:rPr>
      </w:pPr>
    </w:p>
    <w:p w14:paraId="2987004B">
      <w:pPr>
        <w:jc w:val="left"/>
        <w:rPr>
          <w:rFonts w:ascii="仿宋" w:hAnsi="仿宋" w:eastAsia="仿宋"/>
          <w:sz w:val="32"/>
          <w:szCs w:val="32"/>
          <w:highlight w:val="none"/>
        </w:rPr>
      </w:pPr>
    </w:p>
    <w:p w14:paraId="41136BB8">
      <w:pPr>
        <w:jc w:val="left"/>
        <w:rPr>
          <w:rFonts w:ascii="仿宋" w:hAnsi="仿宋" w:eastAsia="仿宋"/>
          <w:sz w:val="32"/>
          <w:szCs w:val="32"/>
          <w:highlight w:val="none"/>
        </w:rPr>
      </w:pPr>
    </w:p>
    <w:p w14:paraId="3A70A149">
      <w:pPr>
        <w:jc w:val="left"/>
        <w:rPr>
          <w:rFonts w:ascii="仿宋" w:hAnsi="仿宋" w:eastAsia="仿宋"/>
          <w:sz w:val="32"/>
          <w:szCs w:val="32"/>
          <w:highlight w:val="none"/>
        </w:rPr>
      </w:pPr>
    </w:p>
    <w:p w14:paraId="363ECEEC">
      <w:pPr>
        <w:jc w:val="left"/>
        <w:rPr>
          <w:rFonts w:ascii="仿宋" w:hAnsi="仿宋" w:eastAsia="仿宋"/>
          <w:sz w:val="32"/>
          <w:szCs w:val="32"/>
          <w:highlight w:val="none"/>
        </w:rPr>
      </w:pPr>
    </w:p>
    <w:p w14:paraId="379640FD">
      <w:pPr>
        <w:jc w:val="left"/>
        <w:rPr>
          <w:rFonts w:ascii="仿宋" w:hAnsi="仿宋" w:eastAsia="仿宋"/>
          <w:sz w:val="32"/>
          <w:szCs w:val="32"/>
          <w:highlight w:val="none"/>
        </w:rPr>
      </w:pPr>
    </w:p>
    <w:p w14:paraId="63AF4530">
      <w:pPr>
        <w:jc w:val="left"/>
        <w:rPr>
          <w:rFonts w:ascii="仿宋" w:hAnsi="仿宋" w:eastAsia="仿宋"/>
          <w:sz w:val="32"/>
          <w:szCs w:val="32"/>
          <w:highlight w:val="none"/>
        </w:rPr>
      </w:pPr>
    </w:p>
    <w:p w14:paraId="074A1498">
      <w:pPr>
        <w:jc w:val="left"/>
        <w:rPr>
          <w:rFonts w:ascii="仿宋" w:hAnsi="仿宋" w:eastAsia="仿宋"/>
          <w:sz w:val="32"/>
          <w:szCs w:val="32"/>
          <w:highlight w:val="none"/>
        </w:rPr>
      </w:pPr>
    </w:p>
    <w:p w14:paraId="5017F098">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6B42B17A">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D787215">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755319FA">
      <w:pPr>
        <w:pStyle w:val="12"/>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年收支总预算 </w:t>
      </w:r>
      <w:r>
        <w:rPr>
          <w:rFonts w:hint="eastAsia" w:ascii="仿宋" w:hAnsi="仿宋" w:eastAsia="仿宋"/>
          <w:sz w:val="32"/>
          <w:szCs w:val="32"/>
          <w:highlight w:val="none"/>
          <w:lang w:val="en-US" w:eastAsia="zh-CN"/>
        </w:rPr>
        <w:t xml:space="preserve">110.60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127.61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减少</w:t>
      </w:r>
      <w:r>
        <w:rPr>
          <w:rFonts w:hint="eastAsia" w:ascii="仿宋" w:hAnsi="仿宋" w:eastAsia="仿宋"/>
          <w:sz w:val="32"/>
          <w:szCs w:val="32"/>
          <w:highlight w:val="none"/>
        </w:rPr>
        <w:t xml:space="preserve"> </w:t>
      </w:r>
      <w:r>
        <w:rPr>
          <w:rFonts w:hint="eastAsia" w:ascii="仿宋" w:hAnsi="仿宋" w:eastAsia="仿宋"/>
          <w:sz w:val="32"/>
          <w:szCs w:val="32"/>
          <w:highlight w:val="none"/>
          <w:lang w:val="en-US" w:eastAsia="zh-CN"/>
        </w:rPr>
        <w:t xml:space="preserve">17.01 </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 xml:space="preserve">人员减少，办公经费、人员经费减少 </w:t>
      </w:r>
      <w:r>
        <w:rPr>
          <w:rFonts w:hint="eastAsia" w:ascii="仿宋" w:hAnsi="仿宋" w:eastAsia="仿宋"/>
          <w:sz w:val="32"/>
          <w:szCs w:val="32"/>
          <w:highlight w:val="none"/>
          <w:lang w:eastAsia="zh-CN"/>
        </w:rPr>
        <w:t>。</w:t>
      </w:r>
    </w:p>
    <w:p w14:paraId="1424D8D6">
      <w:pPr>
        <w:pStyle w:val="12"/>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49C711FC">
      <w:pPr>
        <w:pStyle w:val="12"/>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110.60</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110.60万元，占100%；上年结转 0 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 110.60</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 0万元，占0%。</w:t>
      </w:r>
    </w:p>
    <w:p w14:paraId="177D6A75">
      <w:pPr>
        <w:pStyle w:val="12"/>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1E12748C">
      <w:pPr>
        <w:pStyle w:val="12"/>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110.60</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 xml:space="preserve">，其中：基本支出 </w:t>
      </w:r>
      <w:r>
        <w:rPr>
          <w:rFonts w:hint="eastAsia" w:ascii="仿宋" w:hAnsi="仿宋" w:eastAsia="仿宋"/>
          <w:sz w:val="32"/>
          <w:szCs w:val="32"/>
          <w:highlight w:val="none"/>
          <w:lang w:val="en-US" w:eastAsia="zh-CN"/>
        </w:rPr>
        <w:t>110.60</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 xml:space="preserve">%；项目支出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6D49AF2C">
      <w:pPr>
        <w:pStyle w:val="12"/>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54505B98">
      <w:pPr>
        <w:pStyle w:val="12"/>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110.60</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110.60万元，上年结转 0 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96.57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5.35</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8.68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 xml:space="preserve"> 0 万元</w:t>
      </w:r>
      <w:r>
        <w:rPr>
          <w:rFonts w:hint="eastAsia" w:ascii="仿宋" w:hAnsi="仿宋" w:eastAsia="仿宋"/>
          <w:sz w:val="32"/>
          <w:szCs w:val="32"/>
          <w:highlight w:val="none"/>
        </w:rPr>
        <w:t>。</w:t>
      </w:r>
    </w:p>
    <w:p w14:paraId="071D3871">
      <w:pPr>
        <w:pStyle w:val="12"/>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454A1DDF">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110.60</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110.60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93.64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85</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16.96</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15</w:t>
      </w:r>
      <w:r>
        <w:rPr>
          <w:rFonts w:hint="eastAsia" w:ascii="仿宋" w:hAnsi="仿宋" w:eastAsia="仿宋"/>
          <w:sz w:val="32"/>
          <w:szCs w:val="32"/>
          <w:highlight w:val="none"/>
        </w:rPr>
        <w:t>%。</w:t>
      </w:r>
    </w:p>
    <w:p w14:paraId="41CF65AD">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 xml:space="preserve"> 0 万元，占0</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w:t>
      </w:r>
    </w:p>
    <w:p w14:paraId="208F8127">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社会保障和就业（类）支出96.57万元，占87</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，主要用于：行政运行、机关事业单位基本养老保险缴费支出</w:t>
      </w:r>
      <w:r>
        <w:rPr>
          <w:rFonts w:hint="eastAsia" w:ascii="仿宋" w:hAnsi="仿宋" w:eastAsia="仿宋"/>
          <w:sz w:val="32"/>
          <w:szCs w:val="32"/>
          <w:highlight w:val="none"/>
          <w:lang w:val="en-US" w:eastAsia="zh-CN"/>
        </w:rPr>
        <w:t>。</w:t>
      </w:r>
    </w:p>
    <w:p w14:paraId="109DC3E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卫生健康（类）支出5.35 万元，占5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其他行政事业单位医疗支出、行政单位医疗。</w:t>
      </w:r>
    </w:p>
    <w:p w14:paraId="29342D5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 8.68 万元，占8</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住房公积金支出</w:t>
      </w:r>
      <w:r>
        <w:rPr>
          <w:rFonts w:hint="eastAsia" w:ascii="仿宋" w:hAnsi="仿宋" w:eastAsia="仿宋"/>
          <w:sz w:val="32"/>
          <w:szCs w:val="32"/>
          <w:highlight w:val="none"/>
          <w:lang w:val="en-US" w:eastAsia="zh-CN"/>
        </w:rPr>
        <w:t>。</w:t>
      </w:r>
    </w:p>
    <w:p w14:paraId="616CBC05">
      <w:pPr>
        <w:pStyle w:val="10"/>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496F69FA">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 110.60万元，其中：</w:t>
      </w:r>
    </w:p>
    <w:p w14:paraId="5C7F5066">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93.64</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4860DFAF">
      <w:pPr>
        <w:pStyle w:val="10"/>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16.96</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6101603F">
      <w:pPr>
        <w:pStyle w:val="10"/>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473581B8">
      <w:pPr>
        <w:pStyle w:val="10"/>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1.5</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万元。其中：</w:t>
      </w:r>
    </w:p>
    <w:p w14:paraId="74296516">
      <w:pPr>
        <w:pStyle w:val="10"/>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4D77B798">
      <w:pPr>
        <w:pStyle w:val="10"/>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2.公务接待费</w:t>
      </w:r>
      <w:r>
        <w:rPr>
          <w:rFonts w:hint="eastAsia" w:ascii="仿宋" w:hAnsi="仿宋" w:eastAsia="仿宋"/>
          <w:kern w:val="0"/>
          <w:sz w:val="32"/>
          <w:szCs w:val="32"/>
          <w:highlight w:val="none"/>
          <w:lang w:val="en-US" w:eastAsia="zh-CN"/>
        </w:rPr>
        <w:t>1.5</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 xml:space="preserve"> 年预算数减少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 xml:space="preserve"> 万元，主要原因是</w:t>
      </w:r>
      <w:r>
        <w:rPr>
          <w:rFonts w:hint="eastAsia" w:ascii="仿宋" w:hAnsi="仿宋" w:eastAsia="仿宋"/>
          <w:kern w:val="0"/>
          <w:sz w:val="32"/>
          <w:szCs w:val="32"/>
          <w:highlight w:val="none"/>
          <w:lang w:eastAsia="zh-CN"/>
        </w:rPr>
        <w:t>与</w:t>
      </w:r>
      <w:r>
        <w:rPr>
          <w:rFonts w:hint="eastAsia" w:ascii="仿宋" w:hAnsi="仿宋" w:eastAsia="仿宋"/>
          <w:kern w:val="0"/>
          <w:sz w:val="32"/>
          <w:szCs w:val="32"/>
          <w:highlight w:val="none"/>
          <w:lang w:val="en-US" w:eastAsia="zh-CN"/>
        </w:rPr>
        <w:t>2024年预算持平</w:t>
      </w:r>
      <w:r>
        <w:rPr>
          <w:rFonts w:hint="eastAsia" w:ascii="仿宋" w:hAnsi="仿宋" w:eastAsia="仿宋"/>
          <w:kern w:val="0"/>
          <w:sz w:val="32"/>
          <w:szCs w:val="32"/>
          <w:highlight w:val="none"/>
          <w:lang w:eastAsia="zh-CN"/>
        </w:rPr>
        <w:t>。</w:t>
      </w:r>
    </w:p>
    <w:p w14:paraId="08F47017">
      <w:pPr>
        <w:pStyle w:val="10"/>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 xml:space="preserve"> 年预算数减</w:t>
      </w:r>
    </w:p>
    <w:p w14:paraId="400AEBB6">
      <w:pPr>
        <w:pStyle w:val="10"/>
        <w:rPr>
          <w:rFonts w:hint="eastAsia" w:ascii="仿宋" w:hAnsi="仿宋" w:eastAsia="仿宋"/>
          <w:kern w:val="0"/>
          <w:sz w:val="32"/>
          <w:szCs w:val="32"/>
          <w:highlight w:val="none"/>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万元。其中，公务用车运行维护费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eastAsia="zh-CN"/>
        </w:rPr>
        <w:t>没有公务用车</w:t>
      </w:r>
      <w:r>
        <w:rPr>
          <w:rFonts w:hint="eastAsia" w:ascii="仿宋" w:hAnsi="仿宋" w:eastAsia="仿宋"/>
          <w:kern w:val="0"/>
          <w:sz w:val="32"/>
          <w:szCs w:val="32"/>
          <w:highlight w:val="none"/>
        </w:rPr>
        <w:t>，公务用车购置</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万元，主要原因是</w:t>
      </w:r>
      <w:r>
        <w:rPr>
          <w:rFonts w:hint="eastAsia" w:ascii="仿宋" w:hAnsi="仿宋" w:eastAsia="仿宋"/>
          <w:kern w:val="0"/>
          <w:sz w:val="32"/>
          <w:szCs w:val="32"/>
        </w:rPr>
        <w:t>单位202</w:t>
      </w:r>
      <w:r>
        <w:rPr>
          <w:rFonts w:hint="eastAsia" w:ascii="仿宋" w:hAnsi="仿宋" w:eastAsia="仿宋"/>
          <w:kern w:val="0"/>
          <w:sz w:val="32"/>
          <w:szCs w:val="32"/>
          <w:lang w:val="en-US" w:eastAsia="zh-CN"/>
        </w:rPr>
        <w:t>5</w:t>
      </w:r>
      <w:r>
        <w:rPr>
          <w:rFonts w:hint="eastAsia" w:ascii="仿宋" w:hAnsi="仿宋" w:eastAsia="仿宋"/>
          <w:kern w:val="0"/>
          <w:sz w:val="32"/>
          <w:szCs w:val="32"/>
        </w:rPr>
        <w:t>年和202</w:t>
      </w:r>
      <w:r>
        <w:rPr>
          <w:rFonts w:hint="eastAsia" w:ascii="仿宋" w:hAnsi="仿宋" w:eastAsia="仿宋"/>
          <w:kern w:val="0"/>
          <w:sz w:val="32"/>
          <w:szCs w:val="32"/>
          <w:lang w:val="en-US" w:eastAsia="zh-CN"/>
        </w:rPr>
        <w:t>4</w:t>
      </w:r>
      <w:r>
        <w:rPr>
          <w:rFonts w:hint="eastAsia" w:ascii="仿宋" w:hAnsi="仿宋" w:eastAsia="仿宋"/>
          <w:kern w:val="0"/>
          <w:sz w:val="32"/>
          <w:szCs w:val="32"/>
        </w:rPr>
        <w:t>年均没有公务用车购置预算</w:t>
      </w:r>
      <w:r>
        <w:rPr>
          <w:rFonts w:hint="eastAsia" w:ascii="仿宋" w:hAnsi="仿宋" w:eastAsia="仿宋"/>
          <w:kern w:val="0"/>
          <w:sz w:val="32"/>
          <w:szCs w:val="32"/>
          <w:highlight w:val="none"/>
        </w:rPr>
        <w:t>。</w:t>
      </w:r>
    </w:p>
    <w:p w14:paraId="402EFAA5">
      <w:pPr>
        <w:pStyle w:val="10"/>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17C595B8">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406D8FB3">
      <w:pPr>
        <w:pStyle w:val="10"/>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32C29FB3">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17BD5277">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679B0E9F">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24460FF3">
      <w:pPr>
        <w:pStyle w:val="9"/>
        <w:numPr>
          <w:ilvl w:val="0"/>
          <w:numId w:val="0"/>
        </w:numPr>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家行政单位的机关运行经费财政拨款预算</w:t>
      </w:r>
      <w:r>
        <w:rPr>
          <w:rFonts w:hint="eastAsia" w:ascii="仿宋" w:hAnsi="仿宋" w:eastAsia="仿宋"/>
          <w:sz w:val="32"/>
          <w:szCs w:val="32"/>
          <w:highlight w:val="none"/>
          <w:lang w:val="en-US" w:eastAsia="zh-CN"/>
        </w:rPr>
        <w:t>16.96</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w:t>
      </w:r>
      <w:r>
        <w:rPr>
          <w:rFonts w:hint="eastAsia" w:ascii="仿宋" w:hAnsi="仿宋" w:eastAsia="仿宋"/>
          <w:sz w:val="32"/>
          <w:szCs w:val="32"/>
          <w:highlight w:val="none"/>
        </w:rPr>
        <w:t xml:space="preserve">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w:t>
      </w:r>
      <w:r>
        <w:rPr>
          <w:rFonts w:hint="eastAsia" w:ascii="仿宋" w:hAnsi="仿宋" w:eastAsia="仿宋"/>
          <w:sz w:val="32"/>
          <w:szCs w:val="32"/>
          <w:highlight w:val="none"/>
          <w:lang w:val="en-US" w:eastAsia="zh-CN"/>
        </w:rPr>
        <w:t>减少1.71</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减少9</w:t>
      </w:r>
      <w:r>
        <w:rPr>
          <w:rFonts w:hint="eastAsia" w:ascii="仿宋" w:hAnsi="仿宋" w:eastAsia="仿宋"/>
          <w:sz w:val="32"/>
          <w:szCs w:val="32"/>
          <w:highlight w:val="none"/>
        </w:rPr>
        <w:t>%，主要原因是</w:t>
      </w:r>
      <w:r>
        <w:rPr>
          <w:rFonts w:hint="eastAsia" w:ascii="仿宋" w:hAnsi="仿宋" w:eastAsia="仿宋"/>
          <w:sz w:val="32"/>
          <w:szCs w:val="32"/>
          <w:highlight w:val="none"/>
          <w:lang w:val="en-US" w:eastAsia="zh-CN"/>
        </w:rPr>
        <w:t>办公经费减少</w:t>
      </w:r>
      <w:r>
        <w:rPr>
          <w:rFonts w:hint="eastAsia" w:ascii="仿宋" w:hAnsi="仿宋" w:eastAsia="仿宋"/>
          <w:sz w:val="32"/>
          <w:szCs w:val="32"/>
          <w:highlight w:val="none"/>
          <w:lang w:eastAsia="zh-CN"/>
        </w:rPr>
        <w:t>。</w:t>
      </w:r>
    </w:p>
    <w:p w14:paraId="508469CD">
      <w:pPr>
        <w:pStyle w:val="9"/>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498E3BD4">
      <w:pPr>
        <w:pStyle w:val="9"/>
        <w:numPr>
          <w:ilvl w:val="0"/>
          <w:numId w:val="0"/>
        </w:numPr>
        <w:rPr>
          <w:rFonts w:hint="eastAsia" w:ascii="仿宋" w:hAnsi="仿宋" w:eastAsia="仿宋"/>
          <w:sz w:val="32"/>
          <w:szCs w:val="32"/>
          <w:highlight w:val="none"/>
          <w:lang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增加</w:t>
      </w:r>
      <w:r>
        <w:rPr>
          <w:rFonts w:hint="eastAsia" w:ascii="仿宋" w:hAnsi="仿宋" w:eastAsia="仿宋"/>
          <w:kern w:val="0"/>
          <w:sz w:val="32"/>
          <w:szCs w:val="32"/>
          <w:highlight w:val="none"/>
          <w:lang w:val="en-US" w:eastAsia="zh-CN"/>
        </w:rPr>
        <w:t>/</w:t>
      </w:r>
      <w:r>
        <w:rPr>
          <w:rFonts w:hint="eastAsia" w:ascii="仿宋" w:hAnsi="仿宋" w:eastAsia="仿宋"/>
          <w:kern w:val="0"/>
          <w:sz w:val="32"/>
          <w:szCs w:val="32"/>
          <w:highlight w:val="none"/>
        </w:rPr>
        <w:t>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,增长/下降0%，主要原因是</w:t>
      </w:r>
      <w:r>
        <w:rPr>
          <w:rFonts w:hint="eastAsia" w:ascii="仿宋" w:hAnsi="仿宋" w:eastAsia="仿宋"/>
          <w:kern w:val="0"/>
          <w:sz w:val="32"/>
          <w:szCs w:val="32"/>
        </w:rPr>
        <w:t>单位202</w:t>
      </w:r>
      <w:r>
        <w:rPr>
          <w:rFonts w:hint="eastAsia" w:ascii="仿宋" w:hAnsi="仿宋" w:eastAsia="仿宋"/>
          <w:kern w:val="0"/>
          <w:sz w:val="32"/>
          <w:szCs w:val="32"/>
          <w:lang w:val="en-US" w:eastAsia="zh-CN"/>
        </w:rPr>
        <w:t>5</w:t>
      </w:r>
      <w:r>
        <w:rPr>
          <w:rFonts w:hint="eastAsia" w:ascii="仿宋" w:hAnsi="仿宋" w:eastAsia="仿宋"/>
          <w:kern w:val="0"/>
          <w:sz w:val="32"/>
          <w:szCs w:val="32"/>
        </w:rPr>
        <w:t>年和202</w:t>
      </w:r>
      <w:r>
        <w:rPr>
          <w:rFonts w:hint="eastAsia" w:ascii="仿宋" w:hAnsi="仿宋" w:eastAsia="仿宋"/>
          <w:kern w:val="0"/>
          <w:sz w:val="32"/>
          <w:szCs w:val="32"/>
          <w:lang w:val="en-US" w:eastAsia="zh-CN"/>
        </w:rPr>
        <w:t>4</w:t>
      </w:r>
      <w:r>
        <w:rPr>
          <w:rFonts w:hint="eastAsia" w:ascii="仿宋" w:hAnsi="仿宋" w:eastAsia="仿宋"/>
          <w:kern w:val="0"/>
          <w:sz w:val="32"/>
          <w:szCs w:val="32"/>
        </w:rPr>
        <w:t>年均没有</w:t>
      </w:r>
      <w:r>
        <w:rPr>
          <w:rFonts w:hint="eastAsia" w:ascii="仿宋" w:hAnsi="仿宋" w:eastAsia="仿宋"/>
          <w:kern w:val="0"/>
          <w:sz w:val="32"/>
          <w:szCs w:val="32"/>
          <w:lang w:eastAsia="zh-CN"/>
        </w:rPr>
        <w:t>委托业务费</w:t>
      </w:r>
      <w:r>
        <w:rPr>
          <w:rFonts w:hint="eastAsia" w:ascii="仿宋" w:hAnsi="仿宋" w:eastAsia="仿宋"/>
          <w:kern w:val="0"/>
          <w:sz w:val="32"/>
          <w:szCs w:val="32"/>
          <w:highlight w:val="none"/>
        </w:rPr>
        <w:t>。</w:t>
      </w:r>
    </w:p>
    <w:p w14:paraId="57F873AB">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w:t>
      </w:r>
      <w:r>
        <w:rPr>
          <w:rFonts w:hint="eastAsia" w:ascii="楷体" w:hAnsi="楷体" w:eastAsia="楷体"/>
          <w:sz w:val="32"/>
          <w:szCs w:val="32"/>
          <w:highlight w:val="none"/>
          <w:lang w:val="en-US" w:eastAsia="zh-CN"/>
        </w:rPr>
        <w:t>三</w:t>
      </w:r>
      <w:r>
        <w:rPr>
          <w:rFonts w:hint="eastAsia" w:ascii="楷体" w:hAnsi="楷体" w:eastAsia="楷体"/>
          <w:sz w:val="32"/>
          <w:szCs w:val="32"/>
          <w:highlight w:val="none"/>
          <w:lang w:eastAsia="zh-CN"/>
        </w:rPr>
        <w:t>）</w:t>
      </w:r>
      <w:r>
        <w:rPr>
          <w:rFonts w:hint="eastAsia" w:ascii="楷体" w:hAnsi="楷体" w:eastAsia="楷体"/>
          <w:sz w:val="32"/>
          <w:szCs w:val="32"/>
          <w:highlight w:val="none"/>
        </w:rPr>
        <w:t>政府采购情况</w:t>
      </w:r>
    </w:p>
    <w:p w14:paraId="78B1B716">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p>
    <w:p w14:paraId="1C8F2058">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5A696582">
      <w:pPr>
        <w:pStyle w:val="9"/>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台（套）。</w:t>
      </w:r>
    </w:p>
    <w:p w14:paraId="5BDCD626">
      <w:pPr>
        <w:pStyle w:val="9"/>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14:paraId="1B6AB5E5">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0B27E8A9">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万元。同时，将预算项目绩效目标进一步细化为绩效指标和指标值（附预算项目绩效目标申报表）。</w:t>
      </w:r>
      <w:bookmarkStart w:id="0" w:name="_GoBack"/>
      <w:bookmarkEnd w:id="0"/>
    </w:p>
    <w:p w14:paraId="0955619D">
      <w:pPr>
        <w:jc w:val="left"/>
        <w:rPr>
          <w:rFonts w:ascii="仿宋" w:hAnsi="仿宋" w:eastAsia="仿宋"/>
          <w:sz w:val="32"/>
          <w:szCs w:val="32"/>
          <w:highlight w:val="none"/>
        </w:rPr>
      </w:pPr>
    </w:p>
    <w:p w14:paraId="07C1D176">
      <w:pPr>
        <w:jc w:val="center"/>
        <w:rPr>
          <w:rFonts w:ascii="仿宋" w:hAnsi="仿宋" w:eastAsia="仿宋"/>
          <w:sz w:val="32"/>
          <w:szCs w:val="32"/>
          <w:highlight w:val="none"/>
        </w:rPr>
      </w:pPr>
    </w:p>
    <w:p w14:paraId="6C8AB642">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6C31DB67">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1C3E1B89">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51ACB701">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74E1F92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CB8FB38">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5EA3E83B">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38AA23C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0F29AE2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1AB2CDB0">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52980B90">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BA98EC4">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298B29BD">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3897A68F">
      <w:pPr>
        <w:ind w:firstLine="640" w:firstLineChars="200"/>
        <w:rPr>
          <w:rFonts w:ascii="仿宋_GB2312" w:eastAsia="仿宋_GB2312"/>
          <w:sz w:val="32"/>
          <w:szCs w:val="32"/>
          <w:highlight w:val="none"/>
        </w:rPr>
      </w:pPr>
    </w:p>
    <w:p w14:paraId="1D6AFC28">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5D14965B">
      <w:pPr>
        <w:jc w:val="left"/>
        <w:rPr>
          <w:rFonts w:ascii="仿宋" w:hAnsi="仿宋" w:eastAsia="仿宋"/>
          <w:sz w:val="32"/>
          <w:szCs w:val="32"/>
          <w:highlight w:val="none"/>
        </w:rPr>
      </w:pPr>
    </w:p>
    <w:p w14:paraId="509839A9">
      <w:pPr>
        <w:jc w:val="left"/>
        <w:rPr>
          <w:rFonts w:ascii="仿宋" w:hAnsi="仿宋" w:eastAsia="仿宋"/>
          <w:sz w:val="32"/>
          <w:szCs w:val="32"/>
          <w:highlight w:val="none"/>
        </w:rPr>
      </w:pPr>
    </w:p>
    <w:p w14:paraId="786B3CEA">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77377AD2">
      <w:pPr>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3382945E">
      <w:pPr>
        <w:rPr>
          <w:rFonts w:ascii="仿宋" w:hAnsi="仿宋" w:eastAsia="仿宋"/>
          <w:b/>
          <w:sz w:val="32"/>
          <w:szCs w:val="32"/>
          <w:highlight w:val="none"/>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lNjQ3MzgxMDI1Zjg2YzMwZGYzM2RlYTJlYzI2NmYifQ=="/>
  </w:docVars>
  <w:rsids>
    <w:rsidRoot w:val="00A12A00"/>
    <w:rsid w:val="00005AFD"/>
    <w:rsid w:val="00010A01"/>
    <w:rsid w:val="00021D06"/>
    <w:rsid w:val="0005667C"/>
    <w:rsid w:val="00065C15"/>
    <w:rsid w:val="00071264"/>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5177C"/>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3C1EB8"/>
    <w:rsid w:val="01640BD1"/>
    <w:rsid w:val="018E6F43"/>
    <w:rsid w:val="01EC1B1D"/>
    <w:rsid w:val="034968DF"/>
    <w:rsid w:val="03D7309C"/>
    <w:rsid w:val="03F248D4"/>
    <w:rsid w:val="062E4BE2"/>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E78177F"/>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4A905DD"/>
    <w:rsid w:val="36273D08"/>
    <w:rsid w:val="37361A0B"/>
    <w:rsid w:val="38253B59"/>
    <w:rsid w:val="385B501F"/>
    <w:rsid w:val="38DE30B8"/>
    <w:rsid w:val="39284901"/>
    <w:rsid w:val="3A482539"/>
    <w:rsid w:val="3A915046"/>
    <w:rsid w:val="3C4C15D1"/>
    <w:rsid w:val="3CEA5A8A"/>
    <w:rsid w:val="3D897F97"/>
    <w:rsid w:val="3DA7578C"/>
    <w:rsid w:val="3F597259"/>
    <w:rsid w:val="3F6B774D"/>
    <w:rsid w:val="42202CED"/>
    <w:rsid w:val="426F369B"/>
    <w:rsid w:val="430260DD"/>
    <w:rsid w:val="442476FC"/>
    <w:rsid w:val="442F01B5"/>
    <w:rsid w:val="46C17DAD"/>
    <w:rsid w:val="46F64D5D"/>
    <w:rsid w:val="49B81F53"/>
    <w:rsid w:val="4AAC7860"/>
    <w:rsid w:val="4D0265B8"/>
    <w:rsid w:val="4D8021B9"/>
    <w:rsid w:val="4DFF6777"/>
    <w:rsid w:val="4EB752BA"/>
    <w:rsid w:val="4ED6365B"/>
    <w:rsid w:val="4F5E1E42"/>
    <w:rsid w:val="4F735000"/>
    <w:rsid w:val="50F75E7E"/>
    <w:rsid w:val="51436F0F"/>
    <w:rsid w:val="51BB428B"/>
    <w:rsid w:val="52DF1D28"/>
    <w:rsid w:val="53A4083B"/>
    <w:rsid w:val="54923E8D"/>
    <w:rsid w:val="54941844"/>
    <w:rsid w:val="5538455E"/>
    <w:rsid w:val="55DE0CCF"/>
    <w:rsid w:val="567F658B"/>
    <w:rsid w:val="56A94595"/>
    <w:rsid w:val="5715646F"/>
    <w:rsid w:val="577F2DB5"/>
    <w:rsid w:val="580A299B"/>
    <w:rsid w:val="58330B85"/>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B67382"/>
    <w:rsid w:val="76C753DE"/>
    <w:rsid w:val="76C775D8"/>
    <w:rsid w:val="77FC6956"/>
    <w:rsid w:val="7A64282A"/>
    <w:rsid w:val="7A8D6ADA"/>
    <w:rsid w:val="7CD763A1"/>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7"/>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7">
    <w:name w:val="页眉 Char"/>
    <w:basedOn w:val="6"/>
    <w:link w:val="3"/>
    <w:autoRedefine/>
    <w:semiHidden/>
    <w:qFormat/>
    <w:uiPriority w:val="99"/>
    <w:rPr>
      <w:sz w:val="18"/>
      <w:szCs w:val="18"/>
    </w:rPr>
  </w:style>
  <w:style w:type="character" w:customStyle="1" w:styleId="8">
    <w:name w:val="页脚 Char"/>
    <w:basedOn w:val="6"/>
    <w:link w:val="2"/>
    <w:autoRedefine/>
    <w:semiHidden/>
    <w:qFormat/>
    <w:uiPriority w:val="99"/>
    <w:rPr>
      <w:sz w:val="18"/>
      <w:szCs w:val="18"/>
    </w:rPr>
  </w:style>
  <w:style w:type="paragraph" w:styleId="9">
    <w:name w:val="List Paragraph"/>
    <w:basedOn w:val="1"/>
    <w:autoRedefine/>
    <w:qFormat/>
    <w:uiPriority w:val="34"/>
    <w:pPr>
      <w:ind w:firstLine="420" w:firstLineChars="200"/>
    </w:pPr>
  </w:style>
  <w:style w:type="paragraph" w:customStyle="1" w:styleId="10">
    <w:name w:val="正文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w:autoRedefine/>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3892</Words>
  <Characters>4164</Characters>
  <Lines>19</Lines>
  <Paragraphs>5</Paragraphs>
  <TotalTime>0</TotalTime>
  <ScaleCrop>false</ScaleCrop>
  <LinksUpToDate>false</LinksUpToDate>
  <CharactersWithSpaces>4305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微信用户</cp:lastModifiedBy>
  <cp:lastPrinted>2024-01-30T10:15:00Z</cp:lastPrinted>
  <dcterms:modified xsi:type="dcterms:W3CDTF">2025-01-20T03:17:23Z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87E8B32ADE374714B2DB3B30B73AA2CB_13</vt:lpwstr>
  </property>
  <property fmtid="{D5CDD505-2E9C-101B-9397-08002B2CF9AE}" pid="4" name="KSOTemplateDocerSaveRecord">
    <vt:lpwstr>eyJoZGlkIjoiOTE3M2EwZTE3OTg3Y2VkZjY5YmZlZWRjZTVlMGQwODEiLCJ1c2VySWQiOiIxMjc2MjAzODg1In0=</vt:lpwstr>
  </property>
</Properties>
</file>