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lang w:val="en-US" w:eastAsia="zh-CN"/>
        </w:rPr>
      </w:pPr>
    </w:p>
    <w:p w14:paraId="5C463269">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lang w:val="en-US" w:eastAsia="zh-CN"/>
        </w:rPr>
      </w:pPr>
    </w:p>
    <w:p w14:paraId="3C2FC21C">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lang w:val="en-US" w:eastAsia="zh-CN"/>
        </w:rPr>
      </w:pPr>
    </w:p>
    <w:p w14:paraId="2A4506C2">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lang w:val="en-US" w:eastAsia="zh-CN"/>
        </w:rPr>
      </w:pPr>
    </w:p>
    <w:p w14:paraId="2B1E5594">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lang w:val="en-US" w:eastAsia="zh-CN"/>
        </w:rPr>
      </w:pPr>
    </w:p>
    <w:p w14:paraId="10814544">
      <w:pPr>
        <w:keepNext w:val="0"/>
        <w:keepLines w:val="0"/>
        <w:pageBreakBefore w:val="0"/>
        <w:kinsoku/>
        <w:wordWrap/>
        <w:overflowPunct/>
        <w:topLinePunct w:val="0"/>
        <w:autoSpaceDE/>
        <w:autoSpaceDN/>
        <w:bidi w:val="0"/>
        <w:adjustRightInd/>
        <w:snapToGrid/>
        <w:ind w:left="0" w:leftChars="0" w:firstLine="1040" w:firstLineChars="200"/>
        <w:jc w:val="center"/>
        <w:textAlignment w:val="auto"/>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蛟河市社会救助事业中心</w:t>
      </w:r>
    </w:p>
    <w:p w14:paraId="4F8B34A8">
      <w:pPr>
        <w:keepNext w:val="0"/>
        <w:keepLines w:val="0"/>
        <w:pageBreakBefore w:val="0"/>
        <w:kinsoku/>
        <w:wordWrap/>
        <w:overflowPunct/>
        <w:topLinePunct w:val="0"/>
        <w:autoSpaceDE/>
        <w:autoSpaceDN/>
        <w:bidi w:val="0"/>
        <w:adjustRightInd/>
        <w:snapToGrid/>
        <w:ind w:left="0" w:leftChars="0" w:firstLine="1040" w:firstLineChars="200"/>
        <w:jc w:val="center"/>
        <w:textAlignment w:val="auto"/>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2025年部门预算</w:t>
      </w:r>
    </w:p>
    <w:p w14:paraId="5E289FEA">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rPr>
      </w:pPr>
    </w:p>
    <w:p w14:paraId="4BE0C33C">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rPr>
      </w:pPr>
    </w:p>
    <w:p w14:paraId="549C7DEE">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rPr>
      </w:pPr>
    </w:p>
    <w:p w14:paraId="2AD24D0C">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rPr>
      </w:pPr>
    </w:p>
    <w:p w14:paraId="08176F38">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rPr>
      </w:pPr>
    </w:p>
    <w:p w14:paraId="3C68ACE2">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rPr>
      </w:pPr>
    </w:p>
    <w:p w14:paraId="05381B5C">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rPr>
      </w:pPr>
    </w:p>
    <w:p w14:paraId="7353A9A3">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rPr>
      </w:pPr>
    </w:p>
    <w:p w14:paraId="5F9636F7">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rPr>
      </w:pPr>
    </w:p>
    <w:p w14:paraId="130CB7CD">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rPr>
      </w:pPr>
    </w:p>
    <w:p w14:paraId="6A31E7AD">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二〇二五年一月二十日</w:t>
      </w:r>
    </w:p>
    <w:p w14:paraId="5B1D7CE5">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rPr>
      </w:pPr>
    </w:p>
    <w:p w14:paraId="77C4F07D">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rPr>
      </w:pPr>
    </w:p>
    <w:p w14:paraId="77DA3292">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rPr>
      </w:pPr>
    </w:p>
    <w:p w14:paraId="4B5DB4E5">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rPr>
      </w:pPr>
    </w:p>
    <w:p w14:paraId="0FFFF267">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rPr>
      </w:pPr>
    </w:p>
    <w:p w14:paraId="279F1E18">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hint="eastAsia" w:ascii="黑体" w:hAnsi="黑体" w:eastAsia="黑体"/>
          <w:sz w:val="44"/>
          <w:szCs w:val="44"/>
          <w:highlight w:val="none"/>
        </w:rPr>
      </w:pPr>
    </w:p>
    <w:p w14:paraId="7EB7FC29">
      <w:pPr>
        <w:keepNext w:val="0"/>
        <w:keepLines w:val="0"/>
        <w:pageBreakBefore w:val="0"/>
        <w:kinsoku/>
        <w:wordWrap/>
        <w:overflowPunct/>
        <w:topLinePunct w:val="0"/>
        <w:autoSpaceDE/>
        <w:autoSpaceDN/>
        <w:bidi w:val="0"/>
        <w:adjustRightInd/>
        <w:snapToGrid/>
        <w:ind w:left="0" w:leftChars="0" w:firstLine="880" w:firstLineChars="200"/>
        <w:jc w:val="center"/>
        <w:textAlignment w:val="auto"/>
        <w:rPr>
          <w:rFonts w:ascii="黑体" w:hAnsi="黑体" w:eastAsia="黑体"/>
          <w:sz w:val="44"/>
          <w:szCs w:val="44"/>
          <w:highlight w:val="none"/>
        </w:rPr>
      </w:pPr>
      <w:r>
        <w:rPr>
          <w:rFonts w:hint="eastAsia" w:ascii="黑体" w:hAnsi="黑体" w:eastAsia="黑体"/>
          <w:sz w:val="44"/>
          <w:szCs w:val="44"/>
          <w:highlight w:val="none"/>
          <w:lang w:eastAsia="zh-CN"/>
        </w:rPr>
        <w:t>蛟河市社会救助事业中心</w:t>
      </w:r>
      <w:r>
        <w:rPr>
          <w:rFonts w:hint="eastAsia" w:ascii="黑体" w:hAnsi="黑体" w:eastAsia="黑体"/>
          <w:sz w:val="44"/>
          <w:szCs w:val="44"/>
          <w:highlight w:val="none"/>
          <w:lang w:eastAsia="zh-CN"/>
        </w:rPr>
        <w:t>2025</w:t>
      </w:r>
      <w:r>
        <w:rPr>
          <w:rFonts w:hint="eastAsia" w:ascii="黑体" w:hAnsi="黑体" w:eastAsia="黑体"/>
          <w:sz w:val="44"/>
          <w:szCs w:val="44"/>
          <w:highlight w:val="none"/>
        </w:rPr>
        <w:t>年预算</w:t>
      </w:r>
    </w:p>
    <w:p w14:paraId="5B870A93">
      <w:pPr>
        <w:keepNext w:val="0"/>
        <w:keepLines w:val="0"/>
        <w:pageBreakBefore w:val="0"/>
        <w:tabs>
          <w:tab w:val="left" w:pos="3240"/>
        </w:tabs>
        <w:kinsoku/>
        <w:wordWrap/>
        <w:overflowPunct/>
        <w:topLinePunct w:val="0"/>
        <w:autoSpaceDE/>
        <w:autoSpaceDN/>
        <w:bidi w:val="0"/>
        <w:adjustRightInd/>
        <w:snapToGrid/>
        <w:ind w:left="0" w:leftChars="0" w:firstLine="880" w:firstLineChars="200"/>
        <w:textAlignment w:val="auto"/>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10"/>
        <w:keepNext w:val="0"/>
        <w:keepLines w:val="0"/>
        <w:pageBreakBefore w:val="0"/>
        <w:numPr>
          <w:ilvl w:val="0"/>
          <w:numId w:val="1"/>
        </w:numPr>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10"/>
        <w:keepNext w:val="0"/>
        <w:keepLines w:val="0"/>
        <w:pageBreakBefore w:val="0"/>
        <w:numPr>
          <w:ilvl w:val="0"/>
          <w:numId w:val="1"/>
        </w:numPr>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10"/>
        <w:keepNext w:val="0"/>
        <w:keepLines w:val="0"/>
        <w:pageBreakBefore w:val="0"/>
        <w:numPr>
          <w:ilvl w:val="0"/>
          <w:numId w:val="2"/>
        </w:numPr>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10"/>
        <w:keepNext w:val="0"/>
        <w:keepLines w:val="0"/>
        <w:pageBreakBefore w:val="0"/>
        <w:numPr>
          <w:ilvl w:val="0"/>
          <w:numId w:val="2"/>
        </w:numPr>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10"/>
        <w:keepNext w:val="0"/>
        <w:keepLines w:val="0"/>
        <w:pageBreakBefore w:val="0"/>
        <w:numPr>
          <w:ilvl w:val="0"/>
          <w:numId w:val="2"/>
        </w:numPr>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10"/>
        <w:keepNext w:val="0"/>
        <w:keepLines w:val="0"/>
        <w:pageBreakBefore w:val="0"/>
        <w:numPr>
          <w:ilvl w:val="0"/>
          <w:numId w:val="2"/>
        </w:numPr>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10"/>
        <w:keepNext w:val="0"/>
        <w:keepLines w:val="0"/>
        <w:pageBreakBefore w:val="0"/>
        <w:numPr>
          <w:ilvl w:val="0"/>
          <w:numId w:val="2"/>
        </w:numPr>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10"/>
        <w:keepNext w:val="0"/>
        <w:keepLines w:val="0"/>
        <w:pageBreakBefore w:val="0"/>
        <w:numPr>
          <w:ilvl w:val="0"/>
          <w:numId w:val="2"/>
        </w:numPr>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10"/>
        <w:keepNext w:val="0"/>
        <w:keepLines w:val="0"/>
        <w:pageBreakBefore w:val="0"/>
        <w:numPr>
          <w:ilvl w:val="0"/>
          <w:numId w:val="2"/>
        </w:numPr>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10"/>
        <w:keepNext w:val="0"/>
        <w:keepLines w:val="0"/>
        <w:pageBreakBefore w:val="0"/>
        <w:numPr>
          <w:ilvl w:val="0"/>
          <w:numId w:val="2"/>
        </w:numPr>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10"/>
        <w:keepNext w:val="0"/>
        <w:keepLines w:val="0"/>
        <w:pageBreakBefore w:val="0"/>
        <w:numPr>
          <w:ilvl w:val="0"/>
          <w:numId w:val="2"/>
        </w:numPr>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10"/>
        <w:keepNext w:val="0"/>
        <w:keepLines w:val="0"/>
        <w:pageBreakBefore w:val="0"/>
        <w:numPr>
          <w:ilvl w:val="0"/>
          <w:numId w:val="2"/>
        </w:numPr>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10"/>
        <w:keepNext w:val="0"/>
        <w:keepLines w:val="0"/>
        <w:pageBreakBefore w:val="0"/>
        <w:numPr>
          <w:ilvl w:val="0"/>
          <w:numId w:val="2"/>
        </w:numPr>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3260BACD">
      <w:pPr>
        <w:keepNext w:val="0"/>
        <w:keepLines w:val="0"/>
        <w:pageBreakBefore w:val="0"/>
        <w:kinsoku/>
        <w:wordWrap/>
        <w:overflowPunct/>
        <w:topLinePunct w:val="0"/>
        <w:autoSpaceDE/>
        <w:autoSpaceDN/>
        <w:bidi w:val="0"/>
        <w:adjustRightInd/>
        <w:snapToGrid/>
        <w:ind w:left="0" w:leftChars="0" w:firstLine="640" w:firstLineChars="200"/>
        <w:jc w:val="center"/>
        <w:textAlignment w:val="auto"/>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仿宋" w:hAnsi="仿宋" w:eastAsia="仿宋"/>
          <w:sz w:val="32"/>
          <w:szCs w:val="32"/>
          <w:highlight w:val="none"/>
        </w:rPr>
      </w:pPr>
      <w:r>
        <w:rPr>
          <w:rFonts w:hint="eastAsia" w:ascii="仿宋" w:hAnsi="仿宋" w:eastAsia="仿宋"/>
          <w:sz w:val="32"/>
          <w:szCs w:val="32"/>
          <w:highlight w:val="none"/>
        </w:rPr>
        <w:t xml:space="preserve">  </w:t>
      </w:r>
    </w:p>
    <w:p w14:paraId="6AA622D6">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0320513A">
      <w:pPr>
        <w:pStyle w:val="12"/>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contextualSpacing/>
        <w:textAlignment w:val="auto"/>
        <w:rPr>
          <w:rFonts w:hint="eastAsia" w:ascii="仿宋" w:hAnsi="仿宋" w:eastAsia="仿宋"/>
          <w:bCs/>
          <w:kern w:val="0"/>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蛟河市社会救助事业中心</w:t>
      </w:r>
    </w:p>
    <w:p w14:paraId="177DBB35">
      <w:pPr>
        <w:pStyle w:val="12"/>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contextualSpacing/>
        <w:textAlignment w:val="auto"/>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2002</w:t>
      </w:r>
      <w:r>
        <w:rPr>
          <w:rFonts w:hint="eastAsia" w:ascii="仿宋" w:hAnsi="仿宋" w:eastAsia="仿宋"/>
          <w:bCs/>
          <w:kern w:val="0"/>
          <w:sz w:val="32"/>
          <w:szCs w:val="32"/>
          <w:highlight w:val="none"/>
        </w:rPr>
        <w:t>年</w:t>
      </w:r>
    </w:p>
    <w:p w14:paraId="3F4113AB">
      <w:pPr>
        <w:pStyle w:val="12"/>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contextualSpacing/>
        <w:textAlignment w:val="auto"/>
        <w:rPr>
          <w:rFonts w:hint="eastAsia" w:ascii="仿宋" w:hAnsi="仿宋" w:eastAsia="仿宋"/>
          <w:bCs/>
          <w:kern w:val="0"/>
          <w:sz w:val="32"/>
          <w:szCs w:val="32"/>
          <w:highlight w:val="none"/>
          <w:lang w:eastAsia="zh-CN"/>
        </w:rPr>
      </w:pPr>
      <w:r>
        <w:rPr>
          <w:rFonts w:hint="eastAsia" w:ascii="仿宋" w:hAnsi="仿宋" w:eastAsia="仿宋"/>
          <w:bCs/>
          <w:kern w:val="0"/>
          <w:sz w:val="32"/>
          <w:szCs w:val="32"/>
          <w:highlight w:val="none"/>
        </w:rPr>
        <w:t>单位性质</w:t>
      </w:r>
      <w:r>
        <w:rPr>
          <w:rFonts w:hint="eastAsia" w:ascii="仿宋" w:hAnsi="仿宋" w:eastAsia="仿宋"/>
          <w:bCs/>
          <w:kern w:val="0"/>
          <w:sz w:val="32"/>
          <w:szCs w:val="32"/>
          <w:highlight w:val="none"/>
          <w:lang w:eastAsia="zh-CN"/>
        </w:rPr>
        <w:t>：社会救助事业中心是民政局下属全额拨款事业单位。</w:t>
      </w:r>
    </w:p>
    <w:p w14:paraId="6522E65D">
      <w:pPr>
        <w:pStyle w:val="12"/>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contextualSpacing/>
        <w:textAlignment w:val="auto"/>
        <w:rPr>
          <w:rFonts w:hint="eastAsia" w:ascii="仿宋" w:hAnsi="仿宋" w:eastAsia="仿宋"/>
          <w:bCs/>
          <w:kern w:val="0"/>
          <w:sz w:val="32"/>
          <w:szCs w:val="32"/>
          <w:highlight w:val="none"/>
          <w:lang w:eastAsia="zh-CN"/>
        </w:rPr>
      </w:pPr>
      <w:r>
        <w:rPr>
          <w:rFonts w:hint="eastAsia" w:ascii="仿宋" w:hAnsi="仿宋" w:eastAsia="仿宋"/>
          <w:bCs/>
          <w:kern w:val="0"/>
          <w:sz w:val="32"/>
          <w:szCs w:val="32"/>
          <w:highlight w:val="none"/>
        </w:rPr>
        <w:t>主要职能：</w:t>
      </w:r>
      <w:r>
        <w:rPr>
          <w:rFonts w:hint="eastAsia" w:ascii="仿宋" w:hAnsi="仿宋" w:eastAsia="仿宋"/>
          <w:bCs/>
          <w:kern w:val="0"/>
          <w:sz w:val="32"/>
          <w:szCs w:val="32"/>
          <w:highlight w:val="none"/>
          <w:lang w:eastAsia="zh-CN"/>
        </w:rPr>
        <w:t>负责社会救助工作的组织和实施。</w:t>
      </w:r>
    </w:p>
    <w:p w14:paraId="599C6163">
      <w:pPr>
        <w:pStyle w:val="12"/>
        <w:keepNext w:val="0"/>
        <w:keepLines w:val="0"/>
        <w:pageBreakBefore w:val="0"/>
        <w:widowControl/>
        <w:kinsoku/>
        <w:wordWrap/>
        <w:overflowPunct/>
        <w:topLinePunct w:val="0"/>
        <w:autoSpaceDE/>
        <w:autoSpaceDN/>
        <w:bidi w:val="0"/>
        <w:adjustRightInd/>
        <w:snapToGrid/>
        <w:spacing w:line="620" w:lineRule="exact"/>
        <w:ind w:left="0" w:leftChars="0" w:firstLine="720" w:firstLineChars="300"/>
        <w:contextualSpacing/>
        <w:textAlignment w:val="auto"/>
        <w:rPr>
          <w:rFonts w:hint="eastAsia" w:ascii="仿宋" w:hAnsi="仿宋" w:eastAsia="仿宋"/>
          <w:bCs/>
          <w:kern w:val="0"/>
          <w:sz w:val="32"/>
          <w:szCs w:val="32"/>
          <w:highlight w:val="none"/>
        </w:rPr>
      </w:pPr>
      <w:r>
        <w:rPr>
          <w:rFonts w:hint="default" w:ascii="Arial" w:hAnsi="Arial" w:eastAsia="Arial" w:cs="Arial"/>
          <w:i w:val="0"/>
          <w:iCs w:val="0"/>
          <w:caps w:val="0"/>
          <w:color w:val="333333"/>
          <w:spacing w:val="0"/>
          <w:sz w:val="24"/>
          <w:szCs w:val="24"/>
          <w:shd w:val="clear" w:fill="FFFFFF"/>
        </w:rPr>
        <w:t>‌</w:t>
      </w:r>
      <w:r>
        <w:rPr>
          <w:rFonts w:hint="eastAsia" w:ascii="仿宋" w:hAnsi="仿宋" w:eastAsia="仿宋"/>
          <w:bCs/>
          <w:kern w:val="0"/>
          <w:sz w:val="32"/>
          <w:szCs w:val="32"/>
          <w:highlight w:val="none"/>
        </w:rPr>
        <w:t>主要业务：</w:t>
      </w:r>
    </w:p>
    <w:p w14:paraId="334BB041">
      <w:pPr>
        <w:pStyle w:val="4"/>
        <w:keepNext w:val="0"/>
        <w:keepLines w:val="0"/>
        <w:pageBreakBefore w:val="0"/>
        <w:widowControl/>
        <w:numPr>
          <w:ilvl w:val="0"/>
          <w:numId w:val="3"/>
        </w:numPr>
        <w:shd w:val="clear" w:color="auto" w:fill="FFFFFF"/>
        <w:kinsoku/>
        <w:wordWrap/>
        <w:overflowPunct/>
        <w:topLinePunct w:val="0"/>
        <w:autoSpaceDE/>
        <w:autoSpaceDN/>
        <w:bidi w:val="0"/>
        <w:adjustRightInd/>
        <w:snapToGrid/>
        <w:spacing w:line="435" w:lineRule="atLeast"/>
        <w:ind w:left="0" w:leftChars="0" w:firstLine="640" w:firstLineChars="200"/>
        <w:textAlignment w:val="auto"/>
        <w:rPr>
          <w:rFonts w:ascii="仿宋" w:hAnsi="仿宋" w:eastAsia="仿宋" w:cs="Arial"/>
          <w:color w:val="333333"/>
          <w:sz w:val="32"/>
          <w:szCs w:val="32"/>
        </w:rPr>
      </w:pPr>
      <w:r>
        <w:rPr>
          <w:rFonts w:hint="eastAsia" w:ascii="仿宋" w:hAnsi="仿宋" w:eastAsia="仿宋" w:cs="Arial"/>
          <w:color w:val="333333"/>
          <w:sz w:val="32"/>
          <w:szCs w:val="32"/>
        </w:rPr>
        <w:t>负责社会救助发展研究，为政府职能部门拟定全市社会救助中长期规划和年度工作计划提供依据。</w:t>
      </w:r>
    </w:p>
    <w:p w14:paraId="6695FD4B">
      <w:pPr>
        <w:pStyle w:val="4"/>
        <w:keepNext w:val="0"/>
        <w:keepLines w:val="0"/>
        <w:pageBreakBefore w:val="0"/>
        <w:numPr>
          <w:ilvl w:val="0"/>
          <w:numId w:val="3"/>
        </w:numPr>
        <w:shd w:val="clear" w:color="auto" w:fill="FFFFFF"/>
        <w:kinsoku/>
        <w:wordWrap/>
        <w:overflowPunct/>
        <w:topLinePunct w:val="0"/>
        <w:autoSpaceDE/>
        <w:autoSpaceDN/>
        <w:bidi w:val="0"/>
        <w:adjustRightInd/>
        <w:snapToGrid/>
        <w:spacing w:line="435" w:lineRule="atLeast"/>
        <w:ind w:left="0" w:leftChars="0" w:firstLine="640" w:firstLineChars="200"/>
        <w:textAlignment w:val="auto"/>
        <w:rPr>
          <w:rFonts w:ascii="仿宋" w:hAnsi="仿宋" w:eastAsia="仿宋" w:cs="Arial"/>
          <w:color w:val="333333"/>
          <w:sz w:val="32"/>
          <w:szCs w:val="32"/>
        </w:rPr>
      </w:pPr>
      <w:r>
        <w:rPr>
          <w:rFonts w:hint="eastAsia" w:ascii="仿宋" w:hAnsi="仿宋" w:eastAsia="仿宋" w:cs="Arial"/>
          <w:color w:val="333333"/>
          <w:sz w:val="32"/>
          <w:szCs w:val="32"/>
        </w:rPr>
        <w:t>负责社会救助政策理论研究，为政府职能部门制定调整政策提供咨询服务。</w:t>
      </w:r>
    </w:p>
    <w:p w14:paraId="7091E4DF">
      <w:pPr>
        <w:pStyle w:val="4"/>
        <w:keepNext w:val="0"/>
        <w:keepLines w:val="0"/>
        <w:pageBreakBefore w:val="0"/>
        <w:numPr>
          <w:ilvl w:val="0"/>
          <w:numId w:val="3"/>
        </w:numPr>
        <w:shd w:val="clear" w:color="auto" w:fill="FFFFFF"/>
        <w:kinsoku/>
        <w:wordWrap/>
        <w:overflowPunct/>
        <w:topLinePunct w:val="0"/>
        <w:autoSpaceDE/>
        <w:autoSpaceDN/>
        <w:bidi w:val="0"/>
        <w:adjustRightInd/>
        <w:snapToGrid/>
        <w:spacing w:line="435" w:lineRule="atLeast"/>
        <w:ind w:left="0" w:leftChars="0" w:firstLine="640" w:firstLineChars="200"/>
        <w:textAlignment w:val="auto"/>
        <w:rPr>
          <w:rFonts w:ascii="仿宋" w:hAnsi="仿宋" w:eastAsia="仿宋" w:cs="Arial"/>
          <w:color w:val="333333"/>
          <w:sz w:val="32"/>
          <w:szCs w:val="32"/>
        </w:rPr>
      </w:pPr>
      <w:r>
        <w:rPr>
          <w:rFonts w:hint="eastAsia" w:ascii="仿宋" w:hAnsi="仿宋" w:eastAsia="仿宋" w:cs="Arial"/>
          <w:color w:val="333333"/>
          <w:sz w:val="32"/>
          <w:szCs w:val="32"/>
        </w:rPr>
        <w:t>负责指导各级社会救助经办机构开展城乡低保、临时救助及低收入家庭的认定等工作。</w:t>
      </w:r>
    </w:p>
    <w:p w14:paraId="1DECCAEC">
      <w:pPr>
        <w:pStyle w:val="4"/>
        <w:keepNext w:val="0"/>
        <w:keepLines w:val="0"/>
        <w:pageBreakBefore w:val="0"/>
        <w:shd w:val="clear" w:color="auto" w:fill="FFFFFF"/>
        <w:kinsoku/>
        <w:wordWrap/>
        <w:overflowPunct/>
        <w:topLinePunct w:val="0"/>
        <w:autoSpaceDE/>
        <w:autoSpaceDN/>
        <w:bidi w:val="0"/>
        <w:adjustRightInd/>
        <w:snapToGrid/>
        <w:spacing w:line="435" w:lineRule="atLeast"/>
        <w:ind w:left="0" w:leftChars="0" w:firstLine="640" w:firstLineChars="200"/>
        <w:textAlignment w:val="auto"/>
        <w:rPr>
          <w:rFonts w:ascii="仿宋" w:hAnsi="仿宋" w:eastAsia="仿宋" w:cs="Arial"/>
          <w:color w:val="333333"/>
          <w:sz w:val="32"/>
          <w:szCs w:val="32"/>
        </w:rPr>
      </w:pPr>
      <w:r>
        <w:rPr>
          <w:rFonts w:hint="eastAsia" w:ascii="仿宋" w:hAnsi="仿宋" w:eastAsia="仿宋" w:cs="Arial"/>
          <w:color w:val="333333"/>
          <w:sz w:val="32"/>
          <w:szCs w:val="32"/>
        </w:rPr>
        <w:t>4、负责社会救助调查统计，为城乡低保、临时救助等资金分配提供数据支持。</w:t>
      </w:r>
    </w:p>
    <w:p w14:paraId="097CD6D0">
      <w:pPr>
        <w:pStyle w:val="4"/>
        <w:keepNext w:val="0"/>
        <w:keepLines w:val="0"/>
        <w:pageBreakBefore w:val="0"/>
        <w:shd w:val="clear" w:color="auto" w:fill="FFFFFF"/>
        <w:kinsoku/>
        <w:wordWrap/>
        <w:overflowPunct/>
        <w:topLinePunct w:val="0"/>
        <w:autoSpaceDE/>
        <w:autoSpaceDN/>
        <w:bidi w:val="0"/>
        <w:adjustRightInd/>
        <w:snapToGrid/>
        <w:spacing w:line="435" w:lineRule="atLeast"/>
        <w:ind w:left="0" w:leftChars="0" w:firstLine="640" w:firstLineChars="200"/>
        <w:textAlignment w:val="auto"/>
        <w:rPr>
          <w:rFonts w:ascii="仿宋" w:hAnsi="仿宋" w:eastAsia="仿宋" w:cs="Arial"/>
          <w:color w:val="333333"/>
          <w:sz w:val="32"/>
          <w:szCs w:val="32"/>
        </w:rPr>
      </w:pPr>
      <w:r>
        <w:rPr>
          <w:rFonts w:hint="eastAsia" w:ascii="仿宋" w:hAnsi="仿宋" w:eastAsia="仿宋" w:cs="Arial"/>
          <w:color w:val="333333"/>
          <w:sz w:val="32"/>
          <w:szCs w:val="32"/>
        </w:rPr>
        <w:t>5、负责社会救助信息系统建设、管理及运行维护，为城乡低保、临时救助提供技术支持。</w:t>
      </w:r>
    </w:p>
    <w:p w14:paraId="71DE9073">
      <w:pPr>
        <w:pStyle w:val="4"/>
        <w:keepNext w:val="0"/>
        <w:keepLines w:val="0"/>
        <w:pageBreakBefore w:val="0"/>
        <w:shd w:val="clear" w:color="auto" w:fill="FFFFFF"/>
        <w:kinsoku/>
        <w:wordWrap/>
        <w:overflowPunct/>
        <w:topLinePunct w:val="0"/>
        <w:autoSpaceDE/>
        <w:autoSpaceDN/>
        <w:bidi w:val="0"/>
        <w:adjustRightInd/>
        <w:snapToGrid/>
        <w:spacing w:line="435" w:lineRule="atLeast"/>
        <w:ind w:left="0" w:leftChars="0" w:firstLine="640" w:firstLineChars="200"/>
        <w:textAlignment w:val="auto"/>
        <w:rPr>
          <w:rFonts w:ascii="仿宋" w:hAnsi="仿宋" w:eastAsia="仿宋" w:cs="Arial"/>
          <w:color w:val="333333"/>
          <w:sz w:val="32"/>
          <w:szCs w:val="32"/>
        </w:rPr>
      </w:pPr>
      <w:r>
        <w:rPr>
          <w:rFonts w:hint="eastAsia" w:ascii="仿宋" w:hAnsi="仿宋" w:eastAsia="仿宋" w:cs="Arial"/>
          <w:color w:val="333333"/>
          <w:sz w:val="32"/>
          <w:szCs w:val="32"/>
        </w:rPr>
        <w:t>6、负责制定全市居民家庭经济状况核对标准和操作规程，承担市级居民家庭经济状况核对系统平台和居民家庭经济状况数据库建设、运行维护、使用监管，承办全市跨区域家庭经济状况核对工作，为全市居民家庭经济状况核对工作提供技术支持。</w:t>
      </w:r>
    </w:p>
    <w:p w14:paraId="67EFDDCD">
      <w:pPr>
        <w:pStyle w:val="4"/>
        <w:keepNext w:val="0"/>
        <w:keepLines w:val="0"/>
        <w:pageBreakBefore w:val="0"/>
        <w:shd w:val="clear" w:color="auto" w:fill="FFFFFF"/>
        <w:kinsoku/>
        <w:wordWrap/>
        <w:overflowPunct/>
        <w:topLinePunct w:val="0"/>
        <w:autoSpaceDE/>
        <w:autoSpaceDN/>
        <w:bidi w:val="0"/>
        <w:adjustRightInd/>
        <w:snapToGrid/>
        <w:spacing w:line="435" w:lineRule="atLeast"/>
        <w:ind w:left="0" w:leftChars="0" w:firstLine="640" w:firstLineChars="200"/>
        <w:textAlignment w:val="auto"/>
        <w:rPr>
          <w:rFonts w:ascii="仿宋" w:hAnsi="仿宋" w:eastAsia="仿宋" w:cs="Arial"/>
          <w:color w:val="333333"/>
          <w:sz w:val="32"/>
          <w:szCs w:val="32"/>
        </w:rPr>
      </w:pPr>
      <w:r>
        <w:rPr>
          <w:rFonts w:hint="eastAsia" w:ascii="仿宋" w:hAnsi="仿宋" w:eastAsia="仿宋" w:cs="Arial"/>
          <w:color w:val="333333"/>
          <w:sz w:val="32"/>
          <w:szCs w:val="32"/>
        </w:rPr>
        <w:t>7、负责各项救助资金社会化发放管理工作，确定代发金融机构，搭建发放数据交换专线，为社会救助金社会化发放提供服务。</w:t>
      </w:r>
    </w:p>
    <w:p w14:paraId="45B7A5F0">
      <w:pPr>
        <w:pStyle w:val="4"/>
        <w:keepNext w:val="0"/>
        <w:keepLines w:val="0"/>
        <w:pageBreakBefore w:val="0"/>
        <w:shd w:val="clear" w:color="auto" w:fill="FFFFFF"/>
        <w:kinsoku/>
        <w:wordWrap/>
        <w:overflowPunct/>
        <w:topLinePunct w:val="0"/>
        <w:autoSpaceDE/>
        <w:autoSpaceDN/>
        <w:bidi w:val="0"/>
        <w:adjustRightInd/>
        <w:snapToGrid/>
        <w:spacing w:line="435" w:lineRule="atLeast"/>
        <w:ind w:left="0" w:leftChars="0" w:firstLine="640" w:firstLineChars="200"/>
        <w:textAlignment w:val="auto"/>
        <w:rPr>
          <w:rFonts w:ascii="仿宋" w:hAnsi="仿宋" w:eastAsia="仿宋" w:cs="Arial"/>
          <w:color w:val="333333"/>
          <w:sz w:val="32"/>
          <w:szCs w:val="32"/>
        </w:rPr>
      </w:pPr>
      <w:r>
        <w:rPr>
          <w:rFonts w:hint="eastAsia" w:ascii="仿宋" w:hAnsi="仿宋" w:eastAsia="仿宋" w:cs="Arial"/>
          <w:color w:val="333333"/>
          <w:sz w:val="32"/>
          <w:szCs w:val="32"/>
          <w:lang w:val="en-US" w:eastAsia="zh-CN"/>
        </w:rPr>
        <w:t>8</w:t>
      </w:r>
      <w:r>
        <w:rPr>
          <w:rFonts w:hint="eastAsia" w:ascii="仿宋" w:hAnsi="仿宋" w:eastAsia="仿宋" w:cs="Arial"/>
          <w:color w:val="333333"/>
          <w:sz w:val="32"/>
          <w:szCs w:val="32"/>
        </w:rPr>
        <w:t>、负责全市社会救助业务培训工作，为社会救助能力建设提供服务。</w:t>
      </w:r>
    </w:p>
    <w:p w14:paraId="1284333F">
      <w:pPr>
        <w:pStyle w:val="12"/>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contextualSpacing/>
        <w:textAlignment w:val="auto"/>
        <w:rPr>
          <w:rFonts w:hint="eastAsia" w:ascii="仿宋" w:hAnsi="仿宋" w:eastAsia="仿宋"/>
          <w:bCs/>
          <w:kern w:val="0"/>
          <w:sz w:val="32"/>
          <w:szCs w:val="32"/>
          <w:highlight w:val="none"/>
        </w:rPr>
      </w:pPr>
      <w:r>
        <w:rPr>
          <w:rFonts w:hint="eastAsia" w:ascii="仿宋" w:hAnsi="仿宋" w:eastAsia="仿宋" w:cs="Arial"/>
          <w:color w:val="333333"/>
          <w:sz w:val="32"/>
          <w:szCs w:val="32"/>
          <w:lang w:val="en-US" w:eastAsia="zh-CN"/>
        </w:rPr>
        <w:t>9</w:t>
      </w:r>
      <w:r>
        <w:rPr>
          <w:rFonts w:hint="eastAsia" w:ascii="仿宋" w:hAnsi="仿宋" w:eastAsia="仿宋" w:cs="Arial"/>
          <w:color w:val="333333"/>
          <w:sz w:val="32"/>
          <w:szCs w:val="32"/>
        </w:rPr>
        <w:t>、负责城市低收入家庭认定工作指导，为相关部门开展住房、教育等专项救助提供服务。</w:t>
      </w:r>
    </w:p>
    <w:p w14:paraId="0AA677CA">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仿宋" w:hAnsi="仿宋" w:eastAsia="仿宋"/>
          <w:sz w:val="32"/>
          <w:szCs w:val="32"/>
          <w:highlight w:val="none"/>
        </w:rPr>
      </w:pPr>
      <w:r>
        <w:rPr>
          <w:rFonts w:hint="eastAsia" w:ascii="仿宋" w:hAnsi="仿宋" w:eastAsia="仿宋"/>
          <w:sz w:val="32"/>
          <w:szCs w:val="32"/>
          <w:highlight w:val="none"/>
        </w:rPr>
        <w:t>二、机构设置</w:t>
      </w:r>
    </w:p>
    <w:p w14:paraId="1318279D">
      <w:pPr>
        <w:pStyle w:val="14"/>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rPr>
      </w:pPr>
      <w:r>
        <w:rPr>
          <w:rFonts w:hint="eastAsia" w:ascii="仿宋" w:hAnsi="仿宋" w:eastAsia="仿宋"/>
          <w:kern w:val="0"/>
          <w:szCs w:val="32"/>
          <w:highlight w:val="none"/>
        </w:rPr>
        <w:t>机构设置包括：</w:t>
      </w:r>
      <w:r>
        <w:rPr>
          <w:rFonts w:hint="eastAsia" w:ascii="仿宋" w:hAnsi="仿宋" w:eastAsia="仿宋"/>
          <w:color w:val="444444"/>
          <w:sz w:val="32"/>
          <w:szCs w:val="32"/>
        </w:rPr>
        <w:t>根据所承担的工作职责和编制总量，蛟河市社会救助事业中心无内设机构。</w:t>
      </w:r>
    </w:p>
    <w:p w14:paraId="7F78AC16">
      <w:pPr>
        <w:pStyle w:val="14"/>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16</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17</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2</w:t>
      </w:r>
      <w:r>
        <w:rPr>
          <w:rFonts w:hint="eastAsia" w:ascii="仿宋" w:hAnsi="仿宋" w:eastAsia="仿宋"/>
          <w:kern w:val="0"/>
          <w:szCs w:val="32"/>
          <w:highlight w:val="none"/>
        </w:rPr>
        <w:t>个。</w:t>
      </w:r>
    </w:p>
    <w:p w14:paraId="15D6B9AB">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仿宋" w:hAnsi="仿宋" w:eastAsia="仿宋"/>
          <w:sz w:val="32"/>
          <w:szCs w:val="32"/>
          <w:highlight w:val="none"/>
        </w:rPr>
      </w:pPr>
    </w:p>
    <w:p w14:paraId="4F5EC9C9">
      <w:pPr>
        <w:keepNext w:val="0"/>
        <w:keepLines w:val="0"/>
        <w:pageBreakBefore w:val="0"/>
        <w:kinsoku/>
        <w:wordWrap/>
        <w:overflowPunct/>
        <w:topLinePunct w:val="0"/>
        <w:autoSpaceDE/>
        <w:autoSpaceDN/>
        <w:bidi w:val="0"/>
        <w:adjustRightInd/>
        <w:snapToGrid/>
        <w:ind w:left="0" w:leftChars="0" w:firstLine="640" w:firstLineChars="200"/>
        <w:jc w:val="center"/>
        <w:textAlignment w:val="auto"/>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楷体" w:hAnsi="楷体" w:eastAsia="楷体"/>
          <w:sz w:val="32"/>
          <w:szCs w:val="32"/>
          <w:highlight w:val="none"/>
        </w:rPr>
      </w:pP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63EC818C">
      <w:pPr>
        <w:pStyle w:val="13"/>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年收支总预算162</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2</w:t>
      </w:r>
      <w:r>
        <w:rPr>
          <w:rFonts w:hint="eastAsia" w:ascii="仿宋" w:hAnsi="仿宋" w:eastAsia="仿宋"/>
          <w:sz w:val="32"/>
          <w:szCs w:val="32"/>
          <w:highlight w:val="none"/>
          <w:lang w:val="en-US" w:eastAsia="zh-CN"/>
        </w:rPr>
        <w:t>7</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146.82</w:t>
      </w:r>
      <w:r>
        <w:rPr>
          <w:rFonts w:hint="eastAsia" w:ascii="仿宋" w:hAnsi="仿宋" w:eastAsia="仿宋"/>
          <w:sz w:val="32"/>
          <w:szCs w:val="32"/>
          <w:highlight w:val="none"/>
        </w:rPr>
        <w:t>万元增加</w:t>
      </w:r>
      <w:r>
        <w:rPr>
          <w:rFonts w:hint="eastAsia" w:ascii="仿宋" w:hAnsi="仿宋" w:eastAsia="仿宋"/>
          <w:sz w:val="32"/>
          <w:szCs w:val="32"/>
          <w:highlight w:val="none"/>
          <w:lang w:val="en-US" w:eastAsia="zh-CN"/>
        </w:rPr>
        <w:t>15.45</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2024年</w:t>
      </w:r>
      <w:r>
        <w:rPr>
          <w:rFonts w:hint="eastAsia" w:ascii="仿宋" w:hAnsi="仿宋" w:eastAsia="仿宋"/>
          <w:sz w:val="32"/>
          <w:szCs w:val="32"/>
          <w:highlight w:val="none"/>
          <w:lang w:eastAsia="zh-CN"/>
        </w:rPr>
        <w:t>有</w:t>
      </w:r>
      <w:r>
        <w:rPr>
          <w:rFonts w:hint="eastAsia" w:ascii="仿宋" w:hAnsi="仿宋" w:eastAsia="仿宋"/>
          <w:sz w:val="32"/>
          <w:szCs w:val="32"/>
          <w:highlight w:val="none"/>
          <w:lang w:val="en-US" w:eastAsia="zh-CN"/>
        </w:rPr>
        <w:t>2名</w:t>
      </w:r>
      <w:r>
        <w:rPr>
          <w:rFonts w:hint="eastAsia" w:ascii="仿宋" w:hAnsi="仿宋" w:eastAsia="仿宋"/>
          <w:sz w:val="32"/>
          <w:szCs w:val="32"/>
          <w:highlight w:val="none"/>
          <w:lang w:eastAsia="zh-CN"/>
        </w:rPr>
        <w:t>新增加人员，所以预算增加</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lang w:eastAsia="zh-CN"/>
        </w:rPr>
        <w:t>。</w:t>
      </w:r>
    </w:p>
    <w:p w14:paraId="573A0256">
      <w:pPr>
        <w:pStyle w:val="13"/>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楷体" w:hAnsi="楷体" w:eastAsia="楷体"/>
          <w:sz w:val="32"/>
          <w:szCs w:val="32"/>
          <w:highlight w:val="none"/>
        </w:rPr>
      </w:pP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3"/>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年本单位收入预算162</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2</w:t>
      </w:r>
      <w:r>
        <w:rPr>
          <w:rFonts w:hint="eastAsia" w:ascii="仿宋" w:hAnsi="仿宋" w:eastAsia="仿宋"/>
          <w:sz w:val="32"/>
          <w:szCs w:val="32"/>
          <w:highlight w:val="none"/>
          <w:lang w:val="en-US" w:eastAsia="zh-CN"/>
        </w:rPr>
        <w:t>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rPr>
        <w:t>162</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2</w:t>
      </w:r>
      <w:r>
        <w:rPr>
          <w:rFonts w:hint="eastAsia" w:ascii="仿宋" w:hAnsi="仿宋" w:eastAsia="仿宋"/>
          <w:sz w:val="32"/>
          <w:szCs w:val="32"/>
          <w:highlight w:val="none"/>
          <w:lang w:val="en-US" w:eastAsia="zh-CN"/>
        </w:rPr>
        <w:t>7万元，占100%；上年结转 0万元，占0%。本年收入中，一般公共预算</w:t>
      </w:r>
      <w:r>
        <w:rPr>
          <w:rFonts w:hint="eastAsia" w:ascii="仿宋" w:hAnsi="仿宋" w:eastAsia="仿宋"/>
          <w:sz w:val="32"/>
          <w:szCs w:val="32"/>
          <w:highlight w:val="none"/>
        </w:rPr>
        <w:t>财政拨款收入162</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2</w:t>
      </w:r>
      <w:r>
        <w:rPr>
          <w:rFonts w:hint="eastAsia" w:ascii="仿宋" w:hAnsi="仿宋" w:eastAsia="仿宋"/>
          <w:sz w:val="32"/>
          <w:szCs w:val="32"/>
          <w:highlight w:val="none"/>
          <w:lang w:val="en-US" w:eastAsia="zh-CN"/>
        </w:rPr>
        <w:t>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14:paraId="18B7FAB1">
      <w:pPr>
        <w:pStyle w:val="13"/>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楷体" w:hAnsi="楷体" w:eastAsia="楷体"/>
          <w:sz w:val="32"/>
          <w:szCs w:val="32"/>
          <w:highlight w:val="none"/>
        </w:rPr>
      </w:pPr>
      <w:r>
        <w:rPr>
          <w:rFonts w:hint="eastAsia" w:ascii="楷体" w:hAnsi="楷体" w:eastAsia="楷体"/>
          <w:sz w:val="32"/>
          <w:szCs w:val="32"/>
          <w:highlight w:val="none"/>
        </w:rPr>
        <w:t>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3"/>
        <w:keepNext w:val="0"/>
        <w:keepLines w:val="0"/>
        <w:pageBreakBefore w:val="0"/>
        <w:kinsoku/>
        <w:wordWrap/>
        <w:overflowPunct/>
        <w:topLinePunct w:val="0"/>
        <w:autoSpaceDE/>
        <w:autoSpaceDN/>
        <w:bidi w:val="0"/>
        <w:adjustRightInd/>
        <w:snapToGrid/>
        <w:ind w:left="0" w:leftChars="0" w:firstLine="640" w:firstLineChars="200"/>
        <w:textAlignment w:val="auto"/>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年支出预算162</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2</w:t>
      </w:r>
      <w:r>
        <w:rPr>
          <w:rFonts w:hint="eastAsia" w:ascii="仿宋" w:hAnsi="仿宋" w:eastAsia="仿宋"/>
          <w:sz w:val="32"/>
          <w:szCs w:val="32"/>
          <w:highlight w:val="none"/>
          <w:lang w:val="en-US" w:eastAsia="zh-CN"/>
        </w:rPr>
        <w:t>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rPr>
        <w:t>162</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2</w:t>
      </w:r>
      <w:r>
        <w:rPr>
          <w:rFonts w:hint="eastAsia" w:ascii="仿宋" w:hAnsi="仿宋" w:eastAsia="仿宋"/>
          <w:sz w:val="32"/>
          <w:szCs w:val="32"/>
          <w:highlight w:val="none"/>
          <w:lang w:val="en-US" w:eastAsia="zh-CN"/>
        </w:rPr>
        <w:t>7</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3"/>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501144F0">
      <w:pPr>
        <w:pStyle w:val="13"/>
        <w:keepNext w:val="0"/>
        <w:keepLines w:val="0"/>
        <w:pageBreakBefore w:val="0"/>
        <w:kinsoku/>
        <w:wordWrap/>
        <w:overflowPunct/>
        <w:topLinePunct w:val="0"/>
        <w:autoSpaceDE/>
        <w:autoSpaceDN/>
        <w:bidi w:val="0"/>
        <w:adjustRightInd/>
        <w:snapToGrid/>
        <w:ind w:left="0" w:leftChars="0" w:firstLine="640" w:firstLineChars="200"/>
        <w:textAlignment w:val="auto"/>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预算162</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2</w:t>
      </w:r>
      <w:r>
        <w:rPr>
          <w:rFonts w:hint="eastAsia" w:ascii="仿宋" w:hAnsi="仿宋" w:eastAsia="仿宋"/>
          <w:sz w:val="32"/>
          <w:szCs w:val="32"/>
          <w:highlight w:val="none"/>
          <w:lang w:val="en-US" w:eastAsia="zh-CN"/>
        </w:rPr>
        <w:t>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162</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2</w:t>
      </w:r>
      <w:r>
        <w:rPr>
          <w:rFonts w:hint="eastAsia" w:ascii="仿宋" w:hAnsi="仿宋" w:eastAsia="仿宋"/>
          <w:sz w:val="32"/>
          <w:szCs w:val="32"/>
          <w:highlight w:val="none"/>
          <w:lang w:val="en-US" w:eastAsia="zh-CN"/>
        </w:rPr>
        <w:t>7 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万元，社会保障和就业支出140</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3</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支出8</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59万元，住房保障支出13</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3</w:t>
      </w:r>
      <w:r>
        <w:rPr>
          <w:rFonts w:hint="eastAsia" w:ascii="仿宋" w:hAnsi="仿宋" w:eastAsia="仿宋"/>
          <w:sz w:val="32"/>
          <w:szCs w:val="32"/>
          <w:highlight w:val="none"/>
          <w:lang w:val="en-US" w:eastAsia="zh-CN"/>
        </w:rPr>
        <w:t>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69738522">
      <w:pPr>
        <w:pStyle w:val="13"/>
        <w:keepNext w:val="0"/>
        <w:keepLines w:val="0"/>
        <w:pageBreakBefore w:val="0"/>
        <w:kinsoku/>
        <w:wordWrap/>
        <w:overflowPunct/>
        <w:topLinePunct w:val="0"/>
        <w:autoSpaceDE/>
        <w:autoSpaceDN/>
        <w:bidi w:val="0"/>
        <w:adjustRightInd/>
        <w:snapToGrid/>
        <w:ind w:left="0" w:leftChars="0" w:firstLine="640" w:firstLineChars="200"/>
        <w:textAlignment w:val="auto"/>
        <w:rPr>
          <w:rFonts w:ascii="楷体" w:hAnsi="楷体" w:eastAsia="楷体"/>
          <w:sz w:val="32"/>
          <w:szCs w:val="32"/>
          <w:highlight w:val="none"/>
        </w:rPr>
      </w:pP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keepNext w:val="0"/>
        <w:keepLines w:val="0"/>
        <w:pageBreakBefore w:val="0"/>
        <w:kinsoku/>
        <w:wordWrap/>
        <w:overflowPunct/>
        <w:topLinePunct w:val="0"/>
        <w:autoSpaceDE/>
        <w:autoSpaceDN/>
        <w:bidi w:val="0"/>
        <w:adjustRightInd/>
        <w:snapToGrid/>
        <w:ind w:left="0" w:leftChars="0" w:firstLine="640" w:firstLineChars="200"/>
        <w:textAlignment w:val="auto"/>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年一般公共预算当年拨款162</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2</w:t>
      </w:r>
      <w:r>
        <w:rPr>
          <w:rFonts w:hint="eastAsia" w:ascii="仿宋" w:hAnsi="仿宋" w:eastAsia="仿宋"/>
          <w:sz w:val="32"/>
          <w:szCs w:val="32"/>
          <w:highlight w:val="none"/>
          <w:lang w:val="en-US" w:eastAsia="zh-CN"/>
        </w:rPr>
        <w:t>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基本支出162</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2</w:t>
      </w:r>
      <w:r>
        <w:rPr>
          <w:rFonts w:hint="eastAsia" w:ascii="仿宋" w:hAnsi="仿宋" w:eastAsia="仿宋"/>
          <w:sz w:val="32"/>
          <w:szCs w:val="32"/>
          <w:highlight w:val="none"/>
          <w:lang w:val="en-US" w:eastAsia="zh-CN"/>
        </w:rPr>
        <w:t>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%。基本支出中，人员经费151</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6</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93.43</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公用经费10</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64万元，占</w:t>
      </w:r>
      <w:r>
        <w:rPr>
          <w:rFonts w:hint="eastAsia" w:ascii="仿宋" w:hAnsi="仿宋" w:eastAsia="仿宋"/>
          <w:sz w:val="32"/>
          <w:szCs w:val="32"/>
          <w:highlight w:val="none"/>
          <w:lang w:val="en-US" w:eastAsia="zh-CN"/>
        </w:rPr>
        <w:t>6.57</w:t>
      </w:r>
      <w:r>
        <w:rPr>
          <w:rFonts w:hint="eastAsia" w:ascii="仿宋" w:hAnsi="仿宋" w:eastAsia="仿宋"/>
          <w:sz w:val="32"/>
          <w:szCs w:val="32"/>
          <w:highlight w:val="none"/>
        </w:rPr>
        <w:t>%。</w:t>
      </w:r>
    </w:p>
    <w:p w14:paraId="17CEC783">
      <w:pPr>
        <w:keepNext w:val="0"/>
        <w:keepLines w:val="0"/>
        <w:pageBreakBefore w:val="0"/>
        <w:kinsoku/>
        <w:wordWrap/>
        <w:overflowPunct/>
        <w:topLinePunct w:val="0"/>
        <w:autoSpaceDE/>
        <w:autoSpaceDN/>
        <w:bidi w:val="0"/>
        <w:adjustRightInd/>
        <w:snapToGrid/>
        <w:ind w:left="0" w:leftChars="0" w:firstLine="640" w:firstLineChars="200"/>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0万元，占0</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w:t>
      </w:r>
    </w:p>
    <w:p w14:paraId="22E6716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140.31万元，占86.47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，主要用于：主要用于：</w:t>
      </w:r>
      <w:r>
        <w:rPr>
          <w:rFonts w:hint="eastAsia" w:ascii="仿宋" w:hAnsi="仿宋" w:eastAsia="仿宋"/>
          <w:sz w:val="32"/>
          <w:szCs w:val="32"/>
        </w:rPr>
        <w:t>机关事业单位基本养老保险缴费支出，其他行政事业单位养老支出，社会福利事业单位。</w:t>
      </w:r>
    </w:p>
    <w:p w14:paraId="791FCB50">
      <w:pPr>
        <w:ind w:firstLine="640" w:firstLineChars="200"/>
        <w:rPr>
          <w:rFonts w:hint="eastAsia" w:ascii="仿宋" w:hAnsi="仿宋" w:eastAsia="仿宋"/>
          <w:sz w:val="32"/>
          <w:szCs w:val="32"/>
        </w:rPr>
      </w:pPr>
      <w:r>
        <w:rPr>
          <w:rFonts w:hint="eastAsia" w:ascii="仿宋" w:hAnsi="仿宋" w:eastAsia="仿宋"/>
          <w:sz w:val="32"/>
          <w:szCs w:val="32"/>
          <w:highlight w:val="none"/>
          <w:lang w:val="en-US" w:eastAsia="zh-CN"/>
        </w:rPr>
        <w:t>卫生健康（类）支出8.59万元，占5.29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其他行政事业单位医疗支出。</w:t>
      </w:r>
    </w:p>
    <w:p w14:paraId="6F67A0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住房保障（类）支出13.37万元，占8.24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ascii="仿宋" w:hAnsi="仿宋" w:eastAsia="仿宋"/>
          <w:sz w:val="32"/>
          <w:szCs w:val="32"/>
        </w:rPr>
        <w:t>住房公积金</w:t>
      </w:r>
      <w:r>
        <w:rPr>
          <w:rFonts w:hint="eastAsia" w:ascii="仿宋" w:hAnsi="仿宋" w:eastAsia="仿宋"/>
          <w:sz w:val="32"/>
          <w:szCs w:val="32"/>
        </w:rPr>
        <w:t>支出。</w:t>
      </w:r>
    </w:p>
    <w:p w14:paraId="39E2D860">
      <w:pPr>
        <w:pStyle w:val="11"/>
        <w:keepNext w:val="0"/>
        <w:keepLines w:val="0"/>
        <w:pageBreakBefore w:val="0"/>
        <w:kinsoku/>
        <w:wordWrap/>
        <w:overflowPunct/>
        <w:topLinePunct w:val="0"/>
        <w:autoSpaceDE/>
        <w:autoSpaceDN/>
        <w:bidi w:val="0"/>
        <w:adjustRightInd/>
        <w:snapToGrid/>
        <w:ind w:left="0" w:leftChars="0" w:firstLine="640" w:firstLineChars="200"/>
        <w:textAlignment w:val="auto"/>
        <w:rPr>
          <w:rFonts w:hint="eastAsia" w:ascii="楷体" w:hAnsi="楷体" w:eastAsia="楷体"/>
          <w:kern w:val="0"/>
          <w:sz w:val="32"/>
          <w:szCs w:val="32"/>
          <w:highlight w:val="none"/>
          <w:lang w:val="en-US" w:eastAsia="zh-CN"/>
        </w:rPr>
      </w:pP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keepNext w:val="0"/>
        <w:keepLines w:val="0"/>
        <w:pageBreakBefore w:val="0"/>
        <w:kinsoku/>
        <w:wordWrap/>
        <w:overflowPunct/>
        <w:topLinePunct w:val="0"/>
        <w:autoSpaceDE/>
        <w:autoSpaceDN/>
        <w:bidi w:val="0"/>
        <w:adjustRightInd/>
        <w:snapToGrid/>
        <w:ind w:left="0" w:leftChars="0" w:firstLine="640" w:firstLineChars="200"/>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2025年一般公共预算基本支出 </w:t>
      </w:r>
      <w:r>
        <w:rPr>
          <w:rFonts w:hint="eastAsia" w:ascii="仿宋" w:hAnsi="仿宋" w:eastAsia="仿宋"/>
          <w:sz w:val="32"/>
          <w:szCs w:val="32"/>
          <w:highlight w:val="none"/>
        </w:rPr>
        <w:t>162</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2</w:t>
      </w:r>
      <w:r>
        <w:rPr>
          <w:rFonts w:hint="eastAsia" w:ascii="仿宋" w:hAnsi="仿宋" w:eastAsia="仿宋"/>
          <w:sz w:val="32"/>
          <w:szCs w:val="32"/>
          <w:highlight w:val="none"/>
          <w:lang w:val="en-US" w:eastAsia="zh-CN"/>
        </w:rPr>
        <w:t>7万元，其中：</w:t>
      </w:r>
    </w:p>
    <w:p w14:paraId="0A48DC2A">
      <w:pPr>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人员经费151</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6</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11"/>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 w:hAnsi="仿宋" w:eastAsia="仿宋"/>
          <w:kern w:val="0"/>
          <w:sz w:val="32"/>
          <w:szCs w:val="32"/>
          <w:highlight w:val="none"/>
        </w:rPr>
      </w:pPr>
      <w:r>
        <w:rPr>
          <w:rFonts w:hint="eastAsia" w:ascii="仿宋" w:hAnsi="仿宋" w:eastAsia="仿宋"/>
          <w:sz w:val="32"/>
          <w:szCs w:val="32"/>
          <w:highlight w:val="none"/>
        </w:rPr>
        <w:t>公用经费10</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64万元，主要包括：办公费、印刷费、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11"/>
        <w:keepNext w:val="0"/>
        <w:keepLines w:val="0"/>
        <w:pageBreakBefore w:val="0"/>
        <w:kinsoku/>
        <w:wordWrap/>
        <w:overflowPunct/>
        <w:topLinePunct w:val="0"/>
        <w:autoSpaceDE/>
        <w:autoSpaceDN/>
        <w:bidi w:val="0"/>
        <w:adjustRightInd/>
        <w:snapToGrid/>
        <w:ind w:left="0" w:leftChars="0" w:firstLine="640" w:firstLineChars="200"/>
        <w:textAlignment w:val="auto"/>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11"/>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2.5</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万元。其中：</w:t>
      </w:r>
    </w:p>
    <w:p w14:paraId="51930B52">
      <w:pPr>
        <w:pStyle w:val="11"/>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11"/>
        <w:keepNext w:val="0"/>
        <w:keepLines w:val="0"/>
        <w:pageBreakBefore w:val="0"/>
        <w:kinsoku/>
        <w:wordWrap/>
        <w:overflowPunct/>
        <w:topLinePunct w:val="0"/>
        <w:autoSpaceDE/>
        <w:autoSpaceDN/>
        <w:bidi w:val="0"/>
        <w:adjustRightInd/>
        <w:snapToGrid/>
        <w:ind w:left="0" w:leftChars="0" w:firstLine="640" w:firstLineChars="200"/>
        <w:textAlignment w:val="auto"/>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w:t>
      </w:r>
      <w:r>
        <w:rPr>
          <w:rFonts w:hint="eastAsia" w:ascii="仿宋" w:hAnsi="仿宋" w:eastAsia="仿宋"/>
          <w:kern w:val="0"/>
          <w:sz w:val="32"/>
          <w:szCs w:val="32"/>
          <w:highlight w:val="none"/>
          <w:lang w:eastAsia="zh-CN"/>
        </w:rPr>
        <w:t>。</w:t>
      </w:r>
    </w:p>
    <w:p w14:paraId="7A29E8CE">
      <w:pPr>
        <w:pStyle w:val="11"/>
        <w:ind w:firstLine="627" w:firstLineChars="196"/>
        <w:rPr>
          <w:rFonts w:ascii="仿宋" w:hAnsi="仿宋" w:eastAsia="仿宋"/>
          <w:kern w:val="0"/>
          <w:sz w:val="32"/>
          <w:szCs w:val="32"/>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2.5</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w:t>
      </w:r>
      <w:r>
        <w:rPr>
          <w:rFonts w:hint="eastAsia" w:ascii="仿宋" w:hAnsi="仿宋" w:eastAsia="仿宋"/>
          <w:kern w:val="0"/>
          <w:sz w:val="32"/>
          <w:szCs w:val="32"/>
          <w:highlight w:val="none"/>
        </w:rPr>
        <w:t xml:space="preserve">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年预算数</w:t>
      </w:r>
      <w:r>
        <w:rPr>
          <w:rFonts w:hint="eastAsia" w:ascii="仿宋" w:hAnsi="仿宋" w:eastAsia="仿宋"/>
          <w:kern w:val="0"/>
          <w:sz w:val="32"/>
          <w:szCs w:val="32"/>
          <w:highlight w:val="none"/>
          <w:lang w:eastAsia="zh-CN"/>
        </w:rPr>
        <w:t>相同</w:t>
      </w:r>
      <w:r>
        <w:rPr>
          <w:rFonts w:hint="eastAsia" w:ascii="仿宋" w:hAnsi="仿宋" w:eastAsia="仿宋"/>
          <w:kern w:val="0"/>
          <w:sz w:val="32"/>
          <w:szCs w:val="32"/>
          <w:highlight w:val="none"/>
        </w:rPr>
        <w:t>。其中，公务用车运行维护费</w:t>
      </w:r>
      <w:r>
        <w:rPr>
          <w:rFonts w:hint="eastAsia" w:ascii="仿宋" w:hAnsi="仿宋" w:eastAsia="仿宋"/>
          <w:kern w:val="0"/>
          <w:sz w:val="32"/>
          <w:szCs w:val="32"/>
          <w:highlight w:val="none"/>
          <w:lang w:val="en-US" w:eastAsia="zh-CN"/>
        </w:rPr>
        <w:t>2.5</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年公务用车运行维护费预算与202</w:t>
      </w:r>
      <w:r>
        <w:rPr>
          <w:rFonts w:hint="eastAsia" w:ascii="仿宋" w:hAnsi="仿宋" w:eastAsia="仿宋"/>
          <w:kern w:val="0"/>
          <w:sz w:val="32"/>
          <w:szCs w:val="32"/>
          <w:lang w:val="en-US" w:eastAsia="zh-CN"/>
        </w:rPr>
        <w:t>4</w:t>
      </w:r>
      <w:r>
        <w:rPr>
          <w:rFonts w:hint="eastAsia" w:ascii="仿宋" w:hAnsi="仿宋" w:eastAsia="仿宋"/>
          <w:kern w:val="0"/>
          <w:sz w:val="32"/>
          <w:szCs w:val="32"/>
        </w:rPr>
        <w:t>年公务用车运行维护费预算相同</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万元，主要原因是</w:t>
      </w:r>
      <w:r>
        <w:rPr>
          <w:rFonts w:hint="eastAsia" w:ascii="仿宋" w:hAnsi="仿宋" w:eastAsia="仿宋"/>
          <w:kern w:val="0"/>
          <w:sz w:val="32"/>
          <w:szCs w:val="32"/>
        </w:rPr>
        <w:t>单位20</w:t>
      </w:r>
      <w:bookmarkStart w:id="0" w:name="_GoBack"/>
      <w:bookmarkEnd w:id="0"/>
      <w:r>
        <w:rPr>
          <w:rFonts w:hint="eastAsia" w:ascii="仿宋" w:hAnsi="仿宋" w:eastAsia="仿宋"/>
          <w:kern w:val="0"/>
          <w:sz w:val="32"/>
          <w:szCs w:val="32"/>
        </w:rPr>
        <w:t>2</w:t>
      </w:r>
      <w:r>
        <w:rPr>
          <w:rFonts w:hint="eastAsia" w:ascii="仿宋" w:hAnsi="仿宋" w:eastAsia="仿宋"/>
          <w:kern w:val="0"/>
          <w:sz w:val="32"/>
          <w:szCs w:val="32"/>
          <w:lang w:val="en-US" w:eastAsia="zh-CN"/>
        </w:rPr>
        <w:t>5</w:t>
      </w:r>
      <w:r>
        <w:rPr>
          <w:rFonts w:hint="eastAsia" w:ascii="仿宋" w:hAnsi="仿宋" w:eastAsia="仿宋"/>
          <w:kern w:val="0"/>
          <w:sz w:val="32"/>
          <w:szCs w:val="32"/>
        </w:rPr>
        <w:t>年和202</w:t>
      </w:r>
      <w:r>
        <w:rPr>
          <w:rFonts w:hint="eastAsia" w:ascii="仿宋" w:hAnsi="仿宋" w:eastAsia="仿宋"/>
          <w:kern w:val="0"/>
          <w:sz w:val="32"/>
          <w:szCs w:val="32"/>
          <w:lang w:val="en-US" w:eastAsia="zh-CN"/>
        </w:rPr>
        <w:t>4</w:t>
      </w:r>
      <w:r>
        <w:rPr>
          <w:rFonts w:hint="eastAsia" w:ascii="仿宋" w:hAnsi="仿宋" w:eastAsia="仿宋"/>
          <w:kern w:val="0"/>
          <w:sz w:val="32"/>
          <w:szCs w:val="32"/>
        </w:rPr>
        <w:t>年均没有公务用车购置预算。</w:t>
      </w:r>
    </w:p>
    <w:p w14:paraId="19793D94">
      <w:pPr>
        <w:pStyle w:val="11"/>
        <w:keepNext w:val="0"/>
        <w:keepLines w:val="0"/>
        <w:pageBreakBefore w:val="0"/>
        <w:kinsoku/>
        <w:wordWrap/>
        <w:overflowPunct/>
        <w:topLinePunct w:val="0"/>
        <w:autoSpaceDE/>
        <w:autoSpaceDN/>
        <w:bidi w:val="0"/>
        <w:adjustRightInd/>
        <w:snapToGrid/>
        <w:ind w:left="0" w:leftChars="0" w:firstLine="640" w:firstLineChars="200"/>
        <w:textAlignment w:val="auto"/>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11"/>
        <w:keepNext w:val="0"/>
        <w:keepLines w:val="0"/>
        <w:pageBreakBefore w:val="0"/>
        <w:kinsoku/>
        <w:wordWrap/>
        <w:overflowPunct/>
        <w:topLinePunct w:val="0"/>
        <w:autoSpaceDE/>
        <w:autoSpaceDN/>
        <w:bidi w:val="0"/>
        <w:adjustRightInd/>
        <w:snapToGrid/>
        <w:ind w:left="0" w:leftChars="0"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keepNext w:val="0"/>
        <w:keepLines w:val="0"/>
        <w:pageBreakBefore w:val="0"/>
        <w:numPr>
          <w:ilvl w:val="0"/>
          <w:numId w:val="4"/>
        </w:numPr>
        <w:kinsoku/>
        <w:wordWrap/>
        <w:overflowPunct/>
        <w:topLinePunct w:val="0"/>
        <w:autoSpaceDE/>
        <w:autoSpaceDN/>
        <w:bidi w:val="0"/>
        <w:adjustRightInd/>
        <w:snapToGrid/>
        <w:ind w:left="0" w:leftChars="0" w:firstLine="640" w:firstLineChars="200"/>
        <w:jc w:val="left"/>
        <w:textAlignment w:val="auto"/>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keepNext w:val="0"/>
        <w:keepLines w:val="0"/>
        <w:pageBreakBefore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10"/>
        <w:keepNext w:val="0"/>
        <w:keepLines w:val="0"/>
        <w:pageBreakBefore w:val="0"/>
        <w:kinsoku/>
        <w:wordWrap/>
        <w:overflowPunct/>
        <w:topLinePunct w:val="0"/>
        <w:autoSpaceDE/>
        <w:autoSpaceDN/>
        <w:bidi w:val="0"/>
        <w:adjustRightInd/>
        <w:snapToGrid/>
        <w:ind w:left="0" w:leftChars="0" w:firstLine="640" w:firstLineChars="200"/>
        <w:textAlignment w:val="auto"/>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p>
    <w:p w14:paraId="463250CE">
      <w:pPr>
        <w:pStyle w:val="10"/>
        <w:keepNext w:val="0"/>
        <w:keepLines w:val="0"/>
        <w:pageBreakBefore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楷体" w:hAnsi="楷体" w:eastAsia="楷体" w:cs="楷体"/>
          <w:kern w:val="2"/>
          <w:sz w:val="32"/>
          <w:szCs w:val="32"/>
          <w:highlight w:val="none"/>
          <w:lang w:val="en-US" w:eastAsia="zh-CN" w:bidi="ar-SA"/>
        </w:rPr>
      </w:pPr>
      <w:r>
        <w:rPr>
          <w:rFonts w:hint="eastAsia" w:ascii="楷体" w:hAnsi="楷体" w:eastAsia="楷体" w:cs="楷体"/>
          <w:kern w:val="2"/>
          <w:sz w:val="32"/>
          <w:szCs w:val="32"/>
          <w:highlight w:val="none"/>
          <w:lang w:val="en-US" w:eastAsia="zh-CN" w:bidi="ar-SA"/>
        </w:rPr>
        <w:t>（二）委托业务费</w:t>
      </w:r>
    </w:p>
    <w:p w14:paraId="79A7F3B4">
      <w:pPr>
        <w:pStyle w:val="10"/>
        <w:keepNext w:val="0"/>
        <w:keepLines w:val="0"/>
        <w:pageBreakBefore w:val="0"/>
        <w:numPr>
          <w:ilvl w:val="0"/>
          <w:numId w:val="0"/>
        </w:numPr>
        <w:kinsoku/>
        <w:wordWrap/>
        <w:overflowPunct/>
        <w:topLinePunct w:val="0"/>
        <w:autoSpaceDE/>
        <w:autoSpaceDN/>
        <w:bidi w:val="0"/>
        <w:adjustRightInd/>
        <w:snapToGrid/>
        <w:ind w:left="0" w:leftChars="0" w:firstLine="640" w:firstLineChars="200"/>
        <w:textAlignment w:val="auto"/>
        <w:rPr>
          <w:rFonts w:hint="default" w:ascii="仿宋" w:hAnsi="仿宋" w:eastAsia="仿宋"/>
          <w:sz w:val="32"/>
          <w:szCs w:val="32"/>
          <w:highlight w:val="none"/>
          <w:lang w:val="en-US" w:eastAsia="zh-CN"/>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w:t>
      </w:r>
      <w:r>
        <w:rPr>
          <w:rFonts w:hint="eastAsia" w:ascii="仿宋" w:hAnsi="仿宋" w:eastAsia="仿宋"/>
          <w:kern w:val="0"/>
          <w:sz w:val="32"/>
          <w:szCs w:val="32"/>
          <w:highlight w:val="none"/>
        </w:rPr>
        <w:t>。</w:t>
      </w:r>
    </w:p>
    <w:p w14:paraId="731FCE4E">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4275A39">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10"/>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仿宋" w:hAnsi="仿宋" w:eastAsia="仿宋"/>
          <w:sz w:val="32"/>
          <w:szCs w:val="32"/>
          <w:highlight w:val="none"/>
        </w:rPr>
      </w:pPr>
      <w:r>
        <w:rPr>
          <w:rFonts w:hint="eastAsia" w:ascii="仿宋" w:hAnsi="仿宋" w:eastAsia="仿宋"/>
          <w:sz w:val="32"/>
          <w:szCs w:val="32"/>
          <w:highlight w:val="none"/>
        </w:rPr>
        <w:t>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台（套）。</w:t>
      </w:r>
    </w:p>
    <w:p w14:paraId="04C90835">
      <w:pPr>
        <w:pStyle w:val="10"/>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77621D1F">
      <w:pPr>
        <w:keepNext w:val="0"/>
        <w:keepLines w:val="0"/>
        <w:pageBreakBefore w:val="0"/>
        <w:numPr>
          <w:ilvl w:val="0"/>
          <w:numId w:val="0"/>
        </w:numPr>
        <w:kinsoku/>
        <w:wordWrap/>
        <w:overflowPunct/>
        <w:topLinePunct w:val="0"/>
        <w:autoSpaceDE/>
        <w:autoSpaceDN/>
        <w:bidi w:val="0"/>
        <w:adjustRightInd/>
        <w:snapToGrid/>
        <w:ind w:left="0" w:leftChars="0" w:firstLine="640" w:firstLineChars="200"/>
        <w:jc w:val="left"/>
        <w:textAlignment w:val="auto"/>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仿宋" w:hAnsi="仿宋" w:eastAsia="仿宋"/>
          <w:sz w:val="32"/>
          <w:szCs w:val="32"/>
          <w:highlight w:val="none"/>
        </w:rPr>
      </w:pPr>
      <w:r>
        <w:rPr>
          <w:rFonts w:hint="eastAsia" w:ascii="仿宋" w:hAnsi="仿宋" w:eastAsia="仿宋"/>
          <w:sz w:val="32"/>
          <w:szCs w:val="32"/>
          <w:highlight w:val="none"/>
        </w:rPr>
        <w:t>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4A6163DA">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仿宋" w:hAnsi="仿宋" w:eastAsia="仿宋"/>
          <w:sz w:val="32"/>
          <w:szCs w:val="32"/>
          <w:highlight w:val="none"/>
        </w:rPr>
      </w:pPr>
    </w:p>
    <w:p w14:paraId="06C343FB">
      <w:pPr>
        <w:keepNext w:val="0"/>
        <w:keepLines w:val="0"/>
        <w:pageBreakBefore w:val="0"/>
        <w:kinsoku/>
        <w:wordWrap/>
        <w:overflowPunct/>
        <w:topLinePunct w:val="0"/>
        <w:autoSpaceDE/>
        <w:autoSpaceDN/>
        <w:bidi w:val="0"/>
        <w:adjustRightInd/>
        <w:snapToGrid/>
        <w:ind w:left="0" w:leftChars="0" w:firstLine="640" w:firstLineChars="200"/>
        <w:jc w:val="center"/>
        <w:textAlignment w:val="auto"/>
        <w:rPr>
          <w:rFonts w:ascii="仿宋" w:hAnsi="仿宋" w:eastAsia="仿宋"/>
          <w:sz w:val="32"/>
          <w:szCs w:val="32"/>
          <w:highlight w:val="none"/>
        </w:rPr>
      </w:pPr>
    </w:p>
    <w:p w14:paraId="3EA810D1">
      <w:pPr>
        <w:keepNext w:val="0"/>
        <w:keepLines w:val="0"/>
        <w:pageBreakBefore w:val="0"/>
        <w:kinsoku/>
        <w:wordWrap/>
        <w:overflowPunct/>
        <w:topLinePunct w:val="0"/>
        <w:autoSpaceDE/>
        <w:autoSpaceDN/>
        <w:bidi w:val="0"/>
        <w:adjustRightInd/>
        <w:snapToGrid/>
        <w:ind w:left="0" w:leftChars="0" w:firstLine="640" w:firstLineChars="200"/>
        <w:jc w:val="center"/>
        <w:textAlignment w:val="auto"/>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keepNext w:val="0"/>
        <w:keepLines w:val="0"/>
        <w:pageBreakBefore w:val="0"/>
        <w:kinsoku/>
        <w:wordWrap/>
        <w:overflowPunct/>
        <w:topLinePunct w:val="0"/>
        <w:autoSpaceDE/>
        <w:autoSpaceDN/>
        <w:bidi w:val="0"/>
        <w:adjustRightInd/>
        <w:snapToGrid/>
        <w:ind w:left="0" w:leftChars="0"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keepNext w:val="0"/>
        <w:keepLines w:val="0"/>
        <w:pageBreakBefore w:val="0"/>
        <w:kinsoku/>
        <w:wordWrap/>
        <w:overflowPunct/>
        <w:topLinePunct w:val="0"/>
        <w:autoSpaceDE/>
        <w:autoSpaceDN/>
        <w:bidi w:val="0"/>
        <w:adjustRightInd/>
        <w:snapToGrid/>
        <w:ind w:left="0" w:leftChars="0"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keepNext w:val="0"/>
        <w:keepLines w:val="0"/>
        <w:pageBreakBefore w:val="0"/>
        <w:kinsoku/>
        <w:wordWrap/>
        <w:overflowPunct/>
        <w:topLinePunct w:val="0"/>
        <w:autoSpaceDE/>
        <w:autoSpaceDN/>
        <w:bidi w:val="0"/>
        <w:adjustRightInd/>
        <w:snapToGrid/>
        <w:ind w:left="0" w:leftChars="0"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_GB2312" w:eastAsia="仿宋_GB2312"/>
          <w:sz w:val="32"/>
          <w:szCs w:val="32"/>
          <w:highlight w:val="none"/>
        </w:rPr>
      </w:pPr>
    </w:p>
    <w:p w14:paraId="2DC7A51E">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仿宋" w:hAnsi="仿宋" w:eastAsia="仿宋"/>
          <w:sz w:val="32"/>
          <w:szCs w:val="32"/>
          <w:highlight w:val="none"/>
        </w:rPr>
      </w:pPr>
    </w:p>
    <w:p w14:paraId="01DDDD78">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仿宋" w:hAnsi="仿宋" w:eastAsia="仿宋"/>
          <w:sz w:val="32"/>
          <w:szCs w:val="32"/>
          <w:highlight w:val="none"/>
        </w:rPr>
      </w:pPr>
    </w:p>
    <w:p w14:paraId="1478B078">
      <w:pPr>
        <w:keepNext w:val="0"/>
        <w:keepLines w:val="0"/>
        <w:pageBreakBefore w:val="0"/>
        <w:kinsoku/>
        <w:wordWrap/>
        <w:overflowPunct/>
        <w:topLinePunct w:val="0"/>
        <w:autoSpaceDE/>
        <w:autoSpaceDN/>
        <w:bidi w:val="0"/>
        <w:adjustRightInd/>
        <w:snapToGrid/>
        <w:ind w:left="0" w:leftChars="0" w:firstLine="640" w:firstLineChars="200"/>
        <w:jc w:val="center"/>
        <w:textAlignment w:val="auto"/>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keepNext w:val="0"/>
        <w:keepLines w:val="0"/>
        <w:pageBreakBefore w:val="0"/>
        <w:kinsoku/>
        <w:wordWrap/>
        <w:overflowPunct/>
        <w:topLinePunct w:val="0"/>
        <w:autoSpaceDE/>
        <w:autoSpaceDN/>
        <w:bidi w:val="0"/>
        <w:adjustRightInd/>
        <w:snapToGrid/>
        <w:ind w:left="0" w:leftChars="0" w:firstLine="640" w:firstLineChars="200"/>
        <w:jc w:val="left"/>
        <w:textAlignment w:val="auto"/>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keepNext w:val="0"/>
        <w:keepLines w:val="0"/>
        <w:pageBreakBefore w:val="0"/>
        <w:kinsoku/>
        <w:wordWrap/>
        <w:overflowPunct/>
        <w:topLinePunct w:val="0"/>
        <w:autoSpaceDE/>
        <w:autoSpaceDN/>
        <w:bidi w:val="0"/>
        <w:adjustRightInd/>
        <w:snapToGrid/>
        <w:ind w:left="0" w:leftChars="0" w:firstLine="640" w:firstLineChars="200"/>
        <w:textAlignment w:val="auto"/>
        <w:rPr>
          <w:rFonts w:ascii="仿宋" w:hAnsi="仿宋" w:eastAsia="仿宋"/>
          <w:sz w:val="32"/>
          <w:szCs w:val="32"/>
          <w:highlight w:val="none"/>
        </w:rPr>
      </w:pPr>
    </w:p>
    <w:p w14:paraId="0E7EACE5">
      <w:pPr>
        <w:keepNext w:val="0"/>
        <w:keepLines w:val="0"/>
        <w:pageBreakBefore w:val="0"/>
        <w:kinsoku/>
        <w:wordWrap/>
        <w:overflowPunct/>
        <w:topLinePunct w:val="0"/>
        <w:autoSpaceDE/>
        <w:autoSpaceDN/>
        <w:bidi w:val="0"/>
        <w:adjustRightInd/>
        <w:snapToGrid/>
        <w:ind w:left="0" w:leftChars="0" w:firstLine="643" w:firstLineChars="200"/>
        <w:textAlignment w:val="auto"/>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C2D208"/>
    <w:multiLevelType w:val="singleLevel"/>
    <w:tmpl w:val="D9C2D208"/>
    <w:lvl w:ilvl="0" w:tentative="0">
      <w:start w:val="1"/>
      <w:numFmt w:val="decimal"/>
      <w:suff w:val="nothing"/>
      <w:lvlText w:val="%1、"/>
      <w:lvlJc w:val="left"/>
    </w:lvl>
  </w:abstractNum>
  <w:abstractNum w:abstractNumId="1">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38D7D05"/>
    <w:rsid w:val="15DA5399"/>
    <w:rsid w:val="187E3884"/>
    <w:rsid w:val="18F97B94"/>
    <w:rsid w:val="191A0446"/>
    <w:rsid w:val="19F47A62"/>
    <w:rsid w:val="1AE1440F"/>
    <w:rsid w:val="1B4A363A"/>
    <w:rsid w:val="1BC526EF"/>
    <w:rsid w:val="1C882350"/>
    <w:rsid w:val="1CDC1A5B"/>
    <w:rsid w:val="1E78177F"/>
    <w:rsid w:val="1F451F7A"/>
    <w:rsid w:val="1F530B6C"/>
    <w:rsid w:val="1FFB4DF8"/>
    <w:rsid w:val="20EF71F1"/>
    <w:rsid w:val="2323212D"/>
    <w:rsid w:val="23FA4ECF"/>
    <w:rsid w:val="24AE43FE"/>
    <w:rsid w:val="2527010D"/>
    <w:rsid w:val="25ED3B82"/>
    <w:rsid w:val="26DC2BFA"/>
    <w:rsid w:val="27063D31"/>
    <w:rsid w:val="27742DDB"/>
    <w:rsid w:val="27747EDE"/>
    <w:rsid w:val="277B13CF"/>
    <w:rsid w:val="285B5D80"/>
    <w:rsid w:val="28753BF0"/>
    <w:rsid w:val="28AA47B7"/>
    <w:rsid w:val="28CB641B"/>
    <w:rsid w:val="29207EE3"/>
    <w:rsid w:val="2AC832F5"/>
    <w:rsid w:val="2D742D12"/>
    <w:rsid w:val="2E3342C6"/>
    <w:rsid w:val="33353DA9"/>
    <w:rsid w:val="344D4C9B"/>
    <w:rsid w:val="34A905DD"/>
    <w:rsid w:val="36273D08"/>
    <w:rsid w:val="37361A0B"/>
    <w:rsid w:val="38253B59"/>
    <w:rsid w:val="385B501F"/>
    <w:rsid w:val="38DE30B8"/>
    <w:rsid w:val="38E8321F"/>
    <w:rsid w:val="39284901"/>
    <w:rsid w:val="3A482539"/>
    <w:rsid w:val="3A915046"/>
    <w:rsid w:val="3C332719"/>
    <w:rsid w:val="3C4C15D1"/>
    <w:rsid w:val="3CEA5A8A"/>
    <w:rsid w:val="3D897F97"/>
    <w:rsid w:val="3DA7578C"/>
    <w:rsid w:val="3F597259"/>
    <w:rsid w:val="3F6B774D"/>
    <w:rsid w:val="41BA2662"/>
    <w:rsid w:val="42202CED"/>
    <w:rsid w:val="42435193"/>
    <w:rsid w:val="426F369B"/>
    <w:rsid w:val="430260DD"/>
    <w:rsid w:val="442476FC"/>
    <w:rsid w:val="442F01B5"/>
    <w:rsid w:val="46C17DAD"/>
    <w:rsid w:val="46F64D5D"/>
    <w:rsid w:val="47EF05C4"/>
    <w:rsid w:val="49B81F53"/>
    <w:rsid w:val="4A3B10DB"/>
    <w:rsid w:val="4AAC7860"/>
    <w:rsid w:val="4D0265B8"/>
    <w:rsid w:val="4D8021B9"/>
    <w:rsid w:val="4DFF6777"/>
    <w:rsid w:val="4EB752BA"/>
    <w:rsid w:val="4ED6365B"/>
    <w:rsid w:val="4F5E1E42"/>
    <w:rsid w:val="4F735000"/>
    <w:rsid w:val="50F75E7E"/>
    <w:rsid w:val="51436F0F"/>
    <w:rsid w:val="51BB428B"/>
    <w:rsid w:val="52DF1D28"/>
    <w:rsid w:val="53071E17"/>
    <w:rsid w:val="53360094"/>
    <w:rsid w:val="53A4083B"/>
    <w:rsid w:val="5483711C"/>
    <w:rsid w:val="54923E8D"/>
    <w:rsid w:val="54941844"/>
    <w:rsid w:val="5538455E"/>
    <w:rsid w:val="55955B5A"/>
    <w:rsid w:val="55DE0CCF"/>
    <w:rsid w:val="567F658B"/>
    <w:rsid w:val="56A94595"/>
    <w:rsid w:val="580A299B"/>
    <w:rsid w:val="58330B85"/>
    <w:rsid w:val="5B5D76B7"/>
    <w:rsid w:val="5B8E44C5"/>
    <w:rsid w:val="5C982767"/>
    <w:rsid w:val="5CD80EBE"/>
    <w:rsid w:val="5CFA751D"/>
    <w:rsid w:val="5DB8541C"/>
    <w:rsid w:val="5E221344"/>
    <w:rsid w:val="5E32788E"/>
    <w:rsid w:val="5F592AFE"/>
    <w:rsid w:val="5FB128C2"/>
    <w:rsid w:val="60731B65"/>
    <w:rsid w:val="60D72763"/>
    <w:rsid w:val="61525EF8"/>
    <w:rsid w:val="618E69E6"/>
    <w:rsid w:val="62B666A5"/>
    <w:rsid w:val="62E15FE9"/>
    <w:rsid w:val="635D00ED"/>
    <w:rsid w:val="64820D39"/>
    <w:rsid w:val="65255B39"/>
    <w:rsid w:val="659C7B1A"/>
    <w:rsid w:val="65E847CC"/>
    <w:rsid w:val="67286561"/>
    <w:rsid w:val="68F85E2B"/>
    <w:rsid w:val="691F508E"/>
    <w:rsid w:val="6A340295"/>
    <w:rsid w:val="6A5666B8"/>
    <w:rsid w:val="6C626D3D"/>
    <w:rsid w:val="6DF0400D"/>
    <w:rsid w:val="6E5B22F8"/>
    <w:rsid w:val="6EB92B57"/>
    <w:rsid w:val="6FE96BCC"/>
    <w:rsid w:val="70EF2762"/>
    <w:rsid w:val="71201EF9"/>
    <w:rsid w:val="716F5053"/>
    <w:rsid w:val="71D91536"/>
    <w:rsid w:val="729E55FD"/>
    <w:rsid w:val="72B0266E"/>
    <w:rsid w:val="72E3094A"/>
    <w:rsid w:val="739B6F5E"/>
    <w:rsid w:val="73B42554"/>
    <w:rsid w:val="73D62900"/>
    <w:rsid w:val="73FA7C77"/>
    <w:rsid w:val="744F0BEE"/>
    <w:rsid w:val="74A55A8E"/>
    <w:rsid w:val="7539654A"/>
    <w:rsid w:val="75836739"/>
    <w:rsid w:val="75916F41"/>
    <w:rsid w:val="75C97DC1"/>
    <w:rsid w:val="76C753DE"/>
    <w:rsid w:val="76C775D8"/>
    <w:rsid w:val="774D5922"/>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7">
    <w:name w:val="Strong"/>
    <w:basedOn w:val="6"/>
    <w:qFormat/>
    <w:uiPriority w:val="22"/>
    <w:rPr>
      <w:b/>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3293</Words>
  <Characters>3587</Characters>
  <Lines>19</Lines>
  <Paragraphs>5</Paragraphs>
  <TotalTime>7</TotalTime>
  <ScaleCrop>false</ScaleCrop>
  <LinksUpToDate>false</LinksUpToDate>
  <CharactersWithSpaces>3673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姜海峰</cp:lastModifiedBy>
  <cp:lastPrinted>2025-01-21T00:54:58Z</cp:lastPrinted>
  <dcterms:modified xsi:type="dcterms:W3CDTF">2025-01-21T00:56:20Z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015E53AB75C04A42A540DA5266089B66</vt:lpwstr>
  </property>
  <property fmtid="{D5CDD505-2E9C-101B-9397-08002B2CF9AE}" pid="4" name="KSOTemplateDocerSaveRecord">
    <vt:lpwstr>eyJoZGlkIjoiNmI4MGZhOTIyOTcwZjc5M2JjZDM1NjQ1OGI0ZjkxZDYiLCJ1c2VySWQiOiI0OTcwMTY4MjQifQ==</vt:lpwstr>
  </property>
</Properties>
</file>