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02"/>
        </w:tabs>
        <w:spacing w:line="560" w:lineRule="exact"/>
        <w:rPr>
          <w:rFonts w:hint="eastAsia" w:ascii="Times New Roman" w:hAnsi="Times New Roman" w:eastAsia="楷体_GB2312"/>
          <w:sz w:val="28"/>
          <w:lang w:eastAsia="zh-CN"/>
        </w:rPr>
      </w:pPr>
      <w:r>
        <w:rPr>
          <w:rFonts w:hint="eastAsia" w:ascii="Times New Roman" w:hAnsi="Times New Roman" w:eastAsia="楷体_GB2312"/>
          <w:sz w:val="28"/>
        </w:rPr>
        <w:t>中共蛟河市委</w:t>
      </w:r>
      <w:r>
        <w:rPr>
          <w:rFonts w:hint="eastAsia" w:ascii="Times New Roman" w:hAnsi="Times New Roman" w:eastAsia="楷体_GB2312"/>
          <w:sz w:val="28"/>
          <w:lang w:eastAsia="zh-CN"/>
        </w:rPr>
        <w:tab/>
      </w:r>
      <w:r>
        <w:rPr>
          <w:rFonts w:hint="eastAsia" w:ascii="Times New Roman" w:hAnsi="Times New Roman" w:eastAsia="楷体_GB2312"/>
          <w:sz w:val="28"/>
          <w:lang w:val="en-US" w:eastAsia="zh-CN"/>
        </w:rPr>
        <w:t>王英武</w:t>
      </w:r>
      <w:r>
        <w:rPr>
          <w:rFonts w:ascii="Times New Roman" w:hAnsi="Times New Roman" w:eastAsia="楷体_GB2312"/>
          <w:sz w:val="28"/>
        </w:rPr>
        <w:t>同</w:t>
      </w:r>
      <w:r>
        <w:rPr>
          <w:rFonts w:ascii="Times New Roman" w:hAnsi="Times New Roman" w:eastAsia="楷体_GB2312"/>
          <w:spacing w:val="-3"/>
          <w:sz w:val="28"/>
        </w:rPr>
        <w:t>志</w:t>
      </w:r>
      <w:r>
        <w:rPr>
          <w:rFonts w:ascii="Times New Roman" w:hAnsi="Times New Roman" w:eastAsia="楷体_GB2312"/>
          <w:sz w:val="28"/>
        </w:rPr>
        <w:t>批印</w:t>
      </w:r>
    </w:p>
    <w:p>
      <w:pPr>
        <w:tabs>
          <w:tab w:val="left" w:pos="672"/>
          <w:tab w:val="left" w:pos="1236"/>
          <w:tab w:val="left" w:pos="1800"/>
          <w:tab w:val="left" w:pos="6591"/>
        </w:tabs>
        <w:spacing w:line="560" w:lineRule="exact"/>
        <w:rPr>
          <w:rFonts w:ascii="Times New Roman" w:hAnsi="Times New Roman" w:eastAsia="楷体_GB2312"/>
          <w:sz w:val="28"/>
        </w:rPr>
      </w:pPr>
      <w:r>
        <w:rPr>
          <w:rFonts w:hint="eastAsia" w:ascii="Times New Roman" w:hAnsi="Times New Roman" w:eastAsia="楷体_GB2312"/>
          <w:sz w:val="28"/>
        </w:rPr>
        <w:t>常委会会议文件</w:t>
      </w:r>
      <w:r>
        <w:rPr>
          <w:rFonts w:ascii="Times New Roman" w:hAnsi="Times New Roman" w:eastAsia="楷体_GB2312"/>
          <w:sz w:val="24"/>
        </w:rPr>
        <w:tab/>
      </w:r>
    </w:p>
    <w:p>
      <w:pPr>
        <w:spacing w:line="576" w:lineRule="exact"/>
        <w:rPr>
          <w:rFonts w:ascii="黑体" w:hAnsi="黑体" w:eastAsia="黑体"/>
          <w:sz w:val="28"/>
          <w:szCs w:val="28"/>
        </w:rPr>
      </w:pPr>
    </w:p>
    <w:p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关于蛟河市202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年决算和</w:t>
      </w:r>
    </w:p>
    <w:p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年预算上半年执行情况的报告（草案）</w:t>
      </w:r>
    </w:p>
    <w:p>
      <w:pPr>
        <w:adjustRightInd w:val="0"/>
        <w:snapToGrid w:val="0"/>
        <w:spacing w:line="580" w:lineRule="exact"/>
        <w:jc w:val="center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 w:cs="Times New Roman"/>
          <w:sz w:val="32"/>
          <w:szCs w:val="32"/>
        </w:rPr>
        <w:t>（</w:t>
      </w:r>
      <w:r>
        <w:rPr>
          <w:rFonts w:hint="eastAsia" w:ascii="楷体" w:hAnsi="楷体" w:eastAsia="楷体" w:cs="Times New Roman"/>
          <w:sz w:val="32"/>
          <w:szCs w:val="32"/>
        </w:rPr>
        <w:t>202</w:t>
      </w:r>
      <w:r>
        <w:rPr>
          <w:rFonts w:hint="eastAsia" w:ascii="楷体" w:hAnsi="楷体" w:eastAsia="楷体" w:cs="Times New Roman"/>
          <w:sz w:val="32"/>
          <w:szCs w:val="32"/>
          <w:lang w:val="en-US" w:eastAsia="zh-CN"/>
        </w:rPr>
        <w:t>5</w:t>
      </w:r>
      <w:r>
        <w:rPr>
          <w:rFonts w:ascii="楷体" w:hAnsi="楷体" w:eastAsia="楷体" w:cs="Times New Roman"/>
          <w:sz w:val="32"/>
          <w:szCs w:val="32"/>
        </w:rPr>
        <w:t>年</w:t>
      </w:r>
      <w:r>
        <w:rPr>
          <w:rFonts w:hint="eastAsia" w:ascii="楷体" w:hAnsi="楷体" w:eastAsia="楷体" w:cs="Times New Roman"/>
          <w:sz w:val="32"/>
          <w:szCs w:val="32"/>
        </w:rPr>
        <w:t>7</w:t>
      </w:r>
      <w:r>
        <w:rPr>
          <w:rFonts w:ascii="楷体" w:hAnsi="楷体" w:eastAsia="楷体" w:cs="Times New Roman"/>
          <w:sz w:val="32"/>
          <w:szCs w:val="32"/>
        </w:rPr>
        <w:t>月</w:t>
      </w:r>
      <w:r>
        <w:rPr>
          <w:rFonts w:hint="eastAsia" w:ascii="楷体" w:hAnsi="楷体" w:eastAsia="楷体" w:cs="Times New Roman"/>
          <w:sz w:val="32"/>
          <w:szCs w:val="32"/>
          <w:highlight w:val="none"/>
        </w:rPr>
        <w:t>19</w:t>
      </w:r>
      <w:r>
        <w:rPr>
          <w:rFonts w:hint="eastAsia" w:ascii="楷体" w:hAnsi="楷体" w:eastAsia="楷体" w:cs="Times New Roman"/>
          <w:sz w:val="32"/>
          <w:szCs w:val="32"/>
        </w:rPr>
        <w:t>日</w:t>
      </w:r>
      <w:r>
        <w:rPr>
          <w:rFonts w:ascii="楷体" w:hAnsi="楷体" w:eastAsia="楷体" w:cs="Times New Roman"/>
          <w:sz w:val="32"/>
          <w:szCs w:val="32"/>
        </w:rPr>
        <w:t>）</w:t>
      </w:r>
    </w:p>
    <w:p>
      <w:pPr>
        <w:adjustRightInd w:val="0"/>
        <w:snapToGrid w:val="0"/>
        <w:spacing w:line="580" w:lineRule="exact"/>
        <w:jc w:val="center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 w:cs="Times New Roman"/>
          <w:sz w:val="32"/>
          <w:szCs w:val="32"/>
        </w:rPr>
        <w:t>市</w:t>
      </w:r>
      <w:r>
        <w:rPr>
          <w:rFonts w:hint="eastAsia" w:ascii="楷体" w:hAnsi="楷体" w:eastAsia="楷体" w:cs="Times New Roman"/>
          <w:sz w:val="32"/>
          <w:szCs w:val="32"/>
        </w:rPr>
        <w:t>财政局</w:t>
      </w:r>
      <w:r>
        <w:rPr>
          <w:rFonts w:ascii="楷体" w:hAnsi="楷体" w:eastAsia="楷体" w:cs="Times New Roman"/>
          <w:sz w:val="32"/>
          <w:szCs w:val="32"/>
        </w:rPr>
        <w:t xml:space="preserve">党组  </w:t>
      </w:r>
      <w:r>
        <w:rPr>
          <w:rFonts w:hint="eastAsia" w:ascii="楷体" w:hAnsi="楷体" w:eastAsia="楷体" w:cs="Times New Roman"/>
          <w:sz w:val="32"/>
          <w:szCs w:val="32"/>
        </w:rPr>
        <w:t>王向丽</w:t>
      </w:r>
    </w:p>
    <w:p>
      <w:pPr>
        <w:spacing w:line="576" w:lineRule="exact"/>
        <w:rPr>
          <w:rFonts w:ascii="楷体" w:hAnsi="楷体" w:eastAsia="楷体"/>
          <w:sz w:val="34"/>
          <w:szCs w:val="34"/>
        </w:rPr>
      </w:pPr>
    </w:p>
    <w:p>
      <w:pPr>
        <w:spacing w:line="576" w:lineRule="exact"/>
        <w:rPr>
          <w:rFonts w:ascii="仿宋" w:hAnsi="仿宋" w:eastAsia="仿宋"/>
          <w:sz w:val="34"/>
          <w:szCs w:val="34"/>
        </w:rPr>
      </w:pPr>
      <w:r>
        <w:rPr>
          <w:rFonts w:hint="eastAsia" w:ascii="仿宋" w:hAnsi="仿宋" w:eastAsia="仿宋" w:cs="Times New Roman"/>
          <w:sz w:val="34"/>
          <w:szCs w:val="34"/>
        </w:rPr>
        <w:t xml:space="preserve">     </w:t>
      </w:r>
      <w:r>
        <w:rPr>
          <w:rFonts w:ascii="仿宋" w:hAnsi="仿宋" w:eastAsia="仿宋" w:cs="Times New Roman"/>
          <w:sz w:val="34"/>
          <w:szCs w:val="34"/>
        </w:rPr>
        <w:t>根据会议要求，现将</w:t>
      </w:r>
      <w:r>
        <w:rPr>
          <w:rFonts w:hint="eastAsia" w:ascii="仿宋" w:hAnsi="仿宋" w:eastAsia="仿宋"/>
          <w:sz w:val="34"/>
          <w:szCs w:val="34"/>
        </w:rPr>
        <w:t>我市202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4</w:t>
      </w:r>
      <w:r>
        <w:rPr>
          <w:rFonts w:hint="eastAsia" w:ascii="仿宋" w:hAnsi="仿宋" w:eastAsia="仿宋"/>
          <w:sz w:val="34"/>
          <w:szCs w:val="34"/>
        </w:rPr>
        <w:t>年决算及202</w:t>
      </w:r>
      <w:r>
        <w:rPr>
          <w:rFonts w:hint="eastAsia" w:ascii="仿宋" w:hAnsi="仿宋" w:eastAsia="仿宋"/>
          <w:sz w:val="34"/>
          <w:szCs w:val="34"/>
          <w:lang w:val="en-US" w:eastAsia="zh-CN"/>
        </w:rPr>
        <w:t>5</w:t>
      </w:r>
      <w:r>
        <w:rPr>
          <w:rFonts w:hint="eastAsia" w:ascii="仿宋" w:hAnsi="仿宋" w:eastAsia="仿宋"/>
          <w:sz w:val="34"/>
          <w:szCs w:val="34"/>
        </w:rPr>
        <w:t>年预算上半年执行情况，</w:t>
      </w:r>
      <w:r>
        <w:rPr>
          <w:rFonts w:ascii="仿宋" w:hAnsi="仿宋" w:eastAsia="仿宋" w:cs="Times New Roman"/>
          <w:sz w:val="34"/>
          <w:szCs w:val="34"/>
        </w:rPr>
        <w:t>汇报如下</w:t>
      </w:r>
      <w:r>
        <w:rPr>
          <w:rFonts w:hint="eastAsia" w:ascii="仿宋" w:hAnsi="仿宋" w:eastAsia="仿宋"/>
          <w:sz w:val="34"/>
          <w:szCs w:val="3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黑体" w:cs="Times New Roman"/>
          <w:sz w:val="34"/>
          <w:szCs w:val="34"/>
        </w:rPr>
      </w:pPr>
      <w:r>
        <w:rPr>
          <w:rFonts w:hint="default" w:ascii="Times New Roman" w:hAnsi="Times New Roman" w:eastAsia="黑体" w:cs="Times New Roman"/>
          <w:sz w:val="34"/>
          <w:szCs w:val="34"/>
        </w:rPr>
        <w:t>一、202</w:t>
      </w:r>
      <w:r>
        <w:rPr>
          <w:rFonts w:hint="eastAsia" w:ascii="Times New Roman" w:hAnsi="Times New Roman" w:eastAsia="黑体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sz w:val="34"/>
          <w:szCs w:val="34"/>
        </w:rPr>
        <w:t>年蛟河市决算情况</w:t>
      </w:r>
    </w:p>
    <w:p>
      <w:pPr>
        <w:keepNext w:val="0"/>
        <w:keepLines w:val="0"/>
        <w:pageBreakBefore w:val="0"/>
        <w:widowControl w:val="0"/>
        <w:tabs>
          <w:tab w:val="left" w:pos="52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楷体_GB2312" w:cs="Times New Roman"/>
          <w:bCs/>
          <w:sz w:val="34"/>
          <w:szCs w:val="34"/>
        </w:rPr>
      </w:pPr>
      <w:r>
        <w:rPr>
          <w:rFonts w:hint="default" w:ascii="Times New Roman" w:hAnsi="Times New Roman" w:eastAsia="楷体_GB2312" w:cs="Times New Roman"/>
          <w:bCs/>
          <w:sz w:val="34"/>
          <w:szCs w:val="34"/>
        </w:rPr>
        <w:t>（一）一般公共预算收支决算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经市十九届人大第十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七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次常委会议批准，我市一般公共预算收入调整为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26900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万元，一般公共预算支出调整为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341601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</w:t>
      </w:r>
      <w:r>
        <w:rPr>
          <w:rFonts w:hint="default" w:ascii="Times New Roman" w:hAnsi="Times New Roman" w:eastAsia="仿宋_GB2312" w:cs="Times New Roman"/>
          <w:b/>
          <w:bCs/>
          <w:sz w:val="34"/>
          <w:szCs w:val="34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</w:rPr>
        <w:t>1.收入决算。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一般公共预算收入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27227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万元，完成调整预算数的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101.2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剔除资源税和车船税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上划省财政50%因素后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同口径增长5.6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其中：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税收收入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19527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万元，增长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11.6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%；非税收入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7700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万元，下降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7.1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</w:rPr>
        <w:t>2.支出决算。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一般公共预算支出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355216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万元，完成调整预算数的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104.0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%，与上年基本持平。教育、科技、文体、社会保障和就业、医疗卫生、节能环保、城乡社区事务、农林水事务、住房保障等民生支出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307082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万元，占总支出的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86.5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。全年投入高标准农田建设资金14690万元，完善了农田基础设施，改善耕地质量；投入生产者补贴、耕地地力保护补贴资金26990万元，促进了耕地保护，保障了种植面积和产能稳定；投入生态保护恢复资金8320万元，加强天然林和国家级公益林管护，保障了森林资源蓄积量持续增长；投入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社保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医保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困难群众救助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退役军人方面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资金55700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万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元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解决了群众“老有所养、病有所医、困有所助、军有所安”的需求；投入18120万元，用于城乡基础建设，改善了广大群众的生产生活环境。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    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</w:rPr>
        <w:t>3.平衡情况。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一般公共预算收入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27227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万元，加上上级补助收入、债券转贷收入、上年结余收入、调入资金、调入预算稳定调节基金及国债转贷资金上年结余，财政总收入合计为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452152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万元。一般公共预算支出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355216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万元加上上解上级支出、债务还本支出、安排预算稳定调节基金、拨付国债转贷资金及结转下年支出，财政公共预算总支出合计为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452152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万元。收支总量相抵，实现财政收支平衡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结转资金使用情况：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年末，我市一般公共预算结转资金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56469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万元，202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年已按规定用于相关专项及民生政策继续使用。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/>
        <w:jc w:val="left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年，上级部门给予我市公共预算各项转移支付补助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289046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万元，其中，用于机关事业单位人员工资及机构运转经费支出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132961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万元，用于社会保障、义务教育、科学文化、公共卫生、节能环保、城乡社区等社会公共事务支出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156085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</w:pP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4.202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年，我市预备费预算安排2000万元，预算执行过程中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未形成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支出，按照预算法相关规定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全部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安排预算稳定调节基金，下年统筹使用。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/>
        <w:jc w:val="left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 xml:space="preserve">  5.202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年初，我市预算稳定调节基金余额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52864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万元，在执行中动用预算稳定调节基金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52864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，加上预备费余额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2000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万元，一般公共预算地方级收入超收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327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万元，存量资金补充预算预算稳定调节基金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34572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万元，基金调入一般公共预算补充预算稳定调节基金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2160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highlight w:val="none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，202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年，我市预算稳定调节基金余额为</w:t>
      </w:r>
      <w:r>
        <w:rPr>
          <w:rFonts w:hint="eastAsia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39059</w:t>
      </w:r>
      <w:r>
        <w:rPr>
          <w:rFonts w:hint="default" w:ascii="Times New Roman" w:hAnsi="Times New Roman" w:eastAsia="仿宋_GB2312" w:cs="Times New Roman"/>
          <w:b w:val="0"/>
          <w:bCs w:val="0"/>
          <w:sz w:val="34"/>
          <w:szCs w:val="34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/>
        <w:textAlignment w:val="auto"/>
        <w:rPr>
          <w:rFonts w:hint="default" w:ascii="Times New Roman" w:hAnsi="Times New Roman" w:eastAsia="仿宋_GB2312" w:cs="Times New Roman"/>
          <w:bCs/>
          <w:sz w:val="34"/>
          <w:szCs w:val="34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  </w:t>
      </w:r>
      <w:r>
        <w:rPr>
          <w:rFonts w:hint="default" w:ascii="Times New Roman" w:hAnsi="Times New Roman" w:eastAsia="楷体_GB2312" w:cs="Times New Roman"/>
          <w:bCs/>
          <w:sz w:val="32"/>
          <w:szCs w:val="32"/>
        </w:rPr>
        <w:t xml:space="preserve"> </w:t>
      </w:r>
      <w:r>
        <w:rPr>
          <w:rFonts w:hint="default" w:ascii="Times New Roman" w:hAnsi="Times New Roman" w:eastAsia="楷体_GB2312" w:cs="Times New Roman"/>
          <w:bCs/>
          <w:sz w:val="34"/>
          <w:szCs w:val="34"/>
        </w:rPr>
        <w:t>（二）政府性基金收支决算。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年，我市政府性基金收入完成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8618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万元，完成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sz w:val="34"/>
          <w:szCs w:val="34"/>
        </w:rPr>
        <w:t>预算数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8800万元</w:t>
      </w:r>
      <w:r>
        <w:rPr>
          <w:rFonts w:hint="default" w:ascii="Times New Roman" w:hAnsi="Times New Roman" w:eastAsia="仿宋_GB2312" w:cs="Times New Roman"/>
          <w:sz w:val="34"/>
          <w:szCs w:val="34"/>
        </w:rPr>
        <w:t>的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97.9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比上年减少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1296万元，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下降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13.1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（主要是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房地产类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土地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项目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摘牌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减少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），加上上级政府性基金补助收入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42689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万元、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债务转贷收入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53400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万元、上年结转结余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3561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万元、调入资金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1134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万元，全年政府性基金收入总量为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109402</w:t>
      </w:r>
      <w:r>
        <w:rPr>
          <w:rFonts w:hint="default" w:ascii="Times New Roman" w:hAnsi="Times New Roman" w:eastAsia="仿宋_GB2312" w:cs="Times New Roman"/>
          <w:sz w:val="34"/>
          <w:szCs w:val="34"/>
        </w:rPr>
        <w:t xml:space="preserve">万元。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highlight w:val="cy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年，我市政府性基金支出完成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56276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万元，完成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预算数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54580万元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的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103.1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%，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比上年增加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11986万元，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增长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27.1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%（主要是增加化解拖欠企业账款特殊债券），上解支出0万元、加上债务还本支出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12300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万元、调出资金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2160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万元、结转下年支出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38666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全年政府性基金支出总量为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109402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万元，实现了收支平衡。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全年投入移民资金3284万元，完善了移民村的基础设施建设，促进了库区和移民安置区的社会和谐稳定；投入专项债券29000万元用于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蛟河市城区供热管网及电厂热源新建工程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，保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障人民群众温暖过冬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；投入9000万元支持蛟河市农特产品冷链物流基础设施建设项目，带动农产品跨季节均衡销售，促进农民稳定增收；投入3100万元用于蛟河市职业教育产教融合实训基地续建项目，完善了我市产教融合体系，为提高技能型人才培育打下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楷体_GB2312" w:cs="Times New Roman"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Cs/>
          <w:sz w:val="34"/>
          <w:szCs w:val="34"/>
        </w:rPr>
        <w:t>（三）社会保险基金收支决算。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737" w:firstLineChars="217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年，我市社会保险基金收入完成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65980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万元，社会保险基金支出完成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63438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万元，分别完成调整预算数的104.0%、100.3%，加上上年结余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29156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年末滚存结余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31698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楷体_GB2312" w:cs="Times New Roman"/>
          <w:bCs/>
          <w:sz w:val="34"/>
          <w:szCs w:val="34"/>
        </w:rPr>
      </w:pPr>
      <w:r>
        <w:rPr>
          <w:rFonts w:hint="default" w:ascii="Times New Roman" w:hAnsi="Times New Roman" w:eastAsia="楷体_GB2312" w:cs="Times New Roman"/>
          <w:bCs/>
          <w:sz w:val="34"/>
          <w:szCs w:val="34"/>
        </w:rPr>
        <w:t>（四）政府债务情况。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eastAsia" w:ascii="仿宋" w:hAnsi="仿宋" w:eastAsia="仿宋" w:cs="仿宋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年我市债务限额为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374747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万元，其中：一般债务限额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241396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万元，专项债务限额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133351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万元。202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年初，我市债务余额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318636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万元，其中政府债务（一类债务）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311310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万元（一般债务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231359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万元，专项债务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79951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万元），政府负有担保责任的债务（二类债务）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885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万元，政府可能承担救助责任的债务（三类债务）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6441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万元。202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年我市通过发行地方政府债券的方式筹措资金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77186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万元，其中：一般债券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23786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主要用于农村公路治理改造、乡镇基础设施建设、农村水毁修复等11个民生项目；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专项债券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53400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用于职业教育产教融合实训基地建设、农特产品冷链物流基础设施建设及城区供热管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网及电厂热源新建工程3个项目；</w:t>
      </w:r>
      <w:r>
        <w:rPr>
          <w:rFonts w:hint="eastAsia" w:ascii="仿宋" w:hAnsi="仿宋" w:eastAsia="仿宋" w:cs="仿宋"/>
          <w:sz w:val="34"/>
          <w:szCs w:val="34"/>
        </w:rPr>
        <w:t>202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4</w:t>
      </w:r>
      <w:r>
        <w:rPr>
          <w:rFonts w:hint="eastAsia" w:ascii="仿宋" w:hAnsi="仿宋" w:eastAsia="仿宋" w:cs="仿宋"/>
          <w:sz w:val="34"/>
          <w:szCs w:val="34"/>
        </w:rPr>
        <w:t>年度增加化解拖欠企业账款特殊债券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12300</w:t>
      </w:r>
      <w:r>
        <w:rPr>
          <w:rFonts w:hint="eastAsia" w:ascii="仿宋" w:hAnsi="仿宋" w:eastAsia="仿宋" w:cs="仿宋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sz w:val="34"/>
          <w:szCs w:val="34"/>
        </w:rPr>
        <w:t>202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4</w:t>
      </w:r>
      <w:r>
        <w:rPr>
          <w:rFonts w:hint="eastAsia" w:ascii="仿宋" w:hAnsi="仿宋" w:eastAsia="仿宋" w:cs="仿宋"/>
          <w:sz w:val="34"/>
          <w:szCs w:val="34"/>
        </w:rPr>
        <w:t>年我市债务还本支出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34322</w:t>
      </w:r>
      <w:r>
        <w:rPr>
          <w:rFonts w:hint="eastAsia" w:ascii="仿宋" w:hAnsi="仿宋" w:eastAsia="仿宋" w:cs="仿宋"/>
          <w:sz w:val="34"/>
          <w:szCs w:val="34"/>
        </w:rPr>
        <w:t>万元，其中：政府债务（一类债务）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33364</w:t>
      </w:r>
      <w:r>
        <w:rPr>
          <w:rFonts w:hint="eastAsia" w:ascii="仿宋" w:hAnsi="仿宋" w:eastAsia="仿宋" w:cs="仿宋"/>
          <w:sz w:val="34"/>
          <w:szCs w:val="34"/>
        </w:rPr>
        <w:t>（一般债券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21055</w:t>
      </w:r>
      <w:r>
        <w:rPr>
          <w:rFonts w:hint="eastAsia" w:ascii="仿宋" w:hAnsi="仿宋" w:eastAsia="仿宋" w:cs="仿宋"/>
          <w:sz w:val="34"/>
          <w:szCs w:val="34"/>
        </w:rPr>
        <w:t>万元，专项债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12309</w:t>
      </w:r>
      <w:r>
        <w:rPr>
          <w:rFonts w:hint="eastAsia" w:ascii="仿宋" w:hAnsi="仿宋" w:eastAsia="仿宋" w:cs="仿宋"/>
          <w:sz w:val="34"/>
          <w:szCs w:val="34"/>
        </w:rPr>
        <w:t>万元），二类债务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103</w:t>
      </w:r>
      <w:r>
        <w:rPr>
          <w:rFonts w:hint="eastAsia" w:ascii="仿宋" w:hAnsi="仿宋" w:eastAsia="仿宋" w:cs="仿宋"/>
          <w:sz w:val="34"/>
          <w:szCs w:val="34"/>
        </w:rPr>
        <w:t>万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元，三类债务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892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万，主权外债还本汇率差-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37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万元。 202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年末我市债务余额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373800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万元：其中政府债务（一类债务）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367469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万元（一般债务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234127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万元，专项债务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:lang w:val="en-US" w:eastAsia="zh-CN"/>
          <w14:textFill>
            <w14:solidFill>
              <w14:schemeClr w14:val="tx1"/>
            </w14:solidFill>
          </w14:textFill>
        </w:rPr>
        <w:t>133342</w:t>
      </w:r>
      <w:r>
        <w:rPr>
          <w:rFonts w:hint="eastAsia" w:ascii="仿宋" w:hAnsi="仿宋" w:eastAsia="仿宋" w:cs="仿宋"/>
          <w:color w:val="000000" w:themeColor="text1"/>
          <w:sz w:val="34"/>
          <w:szCs w:val="34"/>
          <w14:textFill>
            <w14:solidFill>
              <w14:schemeClr w14:val="tx1"/>
            </w14:solidFill>
          </w14:textFill>
        </w:rPr>
        <w:t>万元），</w:t>
      </w:r>
      <w:r>
        <w:rPr>
          <w:rFonts w:hint="eastAsia" w:ascii="仿宋" w:hAnsi="仿宋" w:eastAsia="仿宋" w:cs="仿宋"/>
          <w:sz w:val="34"/>
          <w:szCs w:val="34"/>
        </w:rPr>
        <w:t>政府负有担保责任的债务（二类债务）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782</w:t>
      </w:r>
      <w:r>
        <w:rPr>
          <w:rFonts w:hint="eastAsia" w:ascii="仿宋" w:hAnsi="仿宋" w:eastAsia="仿宋" w:cs="仿宋"/>
          <w:sz w:val="34"/>
          <w:szCs w:val="34"/>
        </w:rPr>
        <w:t>万元，政府可能承担救助责任的债务（三类债务）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5549</w:t>
      </w:r>
      <w:r>
        <w:rPr>
          <w:rFonts w:hint="eastAsia" w:ascii="仿宋" w:hAnsi="仿宋" w:eastAsia="仿宋" w:cs="仿宋"/>
          <w:sz w:val="34"/>
          <w:szCs w:val="34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tLeast"/>
        <w:ind w:firstLine="680" w:firstLineChars="200"/>
        <w:textAlignment w:val="auto"/>
        <w:rPr>
          <w:rFonts w:hint="default" w:ascii="Times New Roman" w:hAnsi="Times New Roman" w:eastAsia="黑体" w:cs="Times New Roman"/>
          <w:sz w:val="34"/>
          <w:szCs w:val="34"/>
          <w:highlight w:val="none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202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年，我市财政实现了收支平衡，但审计情况表明预算执行过程中仍存在着一些困难与问题：一是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财源根基薄弱，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财政收入持续增长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乏力；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二是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财政处于紧平衡态势凸显，收支矛盾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突出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，预算平衡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难度较大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三是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预算管理需要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进一步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规范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提升，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预算编制不够细化，预算执行进度缓慢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，部分项目资金未达到预期成效。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对于这些困难与问题，</w:t>
      </w:r>
      <w:r>
        <w:rPr>
          <w:rFonts w:hint="eastAsia" w:ascii="仿宋_GB2312" w:hAnsi="仿宋" w:eastAsia="仿宋_GB2312" w:cs="仿宋_GB2312"/>
          <w:sz w:val="34"/>
          <w:szCs w:val="34"/>
        </w:rPr>
        <w:t>我们将高度重视，切实采取有效措施，</w:t>
      </w:r>
      <w:r>
        <w:rPr>
          <w:rFonts w:hint="eastAsia" w:ascii="仿宋_GB2312" w:hAnsi="仿宋" w:eastAsia="仿宋_GB2312" w:cs="仿宋_GB2312"/>
          <w:sz w:val="34"/>
          <w:szCs w:val="34"/>
          <w:lang w:val="en-US" w:eastAsia="zh-CN"/>
        </w:rPr>
        <w:t>认真研究解决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黑体" w:cs="Times New Roman"/>
          <w:sz w:val="34"/>
          <w:szCs w:val="34"/>
          <w:highlight w:val="none"/>
        </w:rPr>
      </w:pPr>
      <w:r>
        <w:rPr>
          <w:rFonts w:hint="default" w:ascii="Times New Roman" w:hAnsi="Times New Roman" w:eastAsia="黑体" w:cs="Times New Roman"/>
          <w:sz w:val="34"/>
          <w:szCs w:val="34"/>
          <w:highlight w:val="none"/>
        </w:rPr>
        <w:t>二、202</w:t>
      </w:r>
      <w:r>
        <w:rPr>
          <w:rFonts w:hint="eastAsia" w:ascii="Times New Roman" w:hAnsi="Times New Roman" w:eastAsia="黑体" w:cs="Times New Roman"/>
          <w:sz w:val="34"/>
          <w:szCs w:val="34"/>
          <w:highlight w:val="none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34"/>
          <w:szCs w:val="34"/>
          <w:highlight w:val="none"/>
        </w:rPr>
        <w:t>年预算上半年执行情况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上半年，我市一般公共预算收入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14101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万元，一般公共预算支出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185275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万元，政府性基金预算收入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441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万元，政府性基金预算支出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12147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万元，下面报告具体预算执行情况：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楷体_GB2312" w:cs="Times New Roman"/>
          <w:bCs/>
          <w:sz w:val="34"/>
          <w:szCs w:val="34"/>
        </w:rPr>
      </w:pPr>
      <w:r>
        <w:rPr>
          <w:rFonts w:hint="default" w:ascii="Times New Roman" w:hAnsi="Times New Roman" w:eastAsia="楷体_GB2312" w:cs="Times New Roman"/>
          <w:bCs/>
          <w:sz w:val="34"/>
          <w:szCs w:val="34"/>
        </w:rPr>
        <w:t>（一）一般公共预算执行情况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3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b/>
          <w:bCs/>
          <w:sz w:val="34"/>
          <w:szCs w:val="34"/>
        </w:rPr>
        <w:t>1.财政收入。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一般公共预算收入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14101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万元，完成年初预算数的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48.1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%，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同比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增长1.0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%，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剔除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全额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上划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金融业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税收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因素后，同比增长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2.6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3" w:firstLineChars="200"/>
        <w:textAlignment w:val="auto"/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4"/>
          <w:szCs w:val="34"/>
        </w:rPr>
        <w:t>2.财政支出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一般公共预算支出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185275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万元，完成预算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4"/>
          <w:szCs w:val="34"/>
        </w:rPr>
        <w:t>数的</w:t>
      </w:r>
      <w:r>
        <w:rPr>
          <w:rFonts w:hint="eastAsia" w:ascii="Times New Roman" w:hAnsi="Times New Roman" w:eastAsia="仿宋_GB2312" w:cs="Times New Roman"/>
          <w:color w:val="auto"/>
          <w:sz w:val="34"/>
          <w:szCs w:val="34"/>
          <w:u w:val="none"/>
          <w:lang w:val="en-US" w:eastAsia="zh-CN"/>
        </w:rPr>
        <w:t>42.1</w:t>
      </w:r>
      <w:r>
        <w:rPr>
          <w:rFonts w:hint="default" w:ascii="Times New Roman" w:hAnsi="Times New Roman" w:eastAsia="仿宋_GB2312" w:cs="Times New Roman"/>
          <w:color w:val="auto"/>
          <w:sz w:val="34"/>
          <w:szCs w:val="34"/>
          <w:u w:val="none"/>
        </w:rPr>
        <w:t>%，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同比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增长14.8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%，</w:t>
      </w:r>
      <w:r>
        <w:rPr>
          <w:rFonts w:hint="default" w:ascii="Times New Roman" w:hAnsi="Times New Roman" w:eastAsia="仿宋_GB2312" w:cs="Times New Roman"/>
          <w:sz w:val="34"/>
          <w:szCs w:val="34"/>
        </w:rPr>
        <w:t>其中，教育、科技、文体、社会保障和就业、医疗卫生、节能环保、城乡社区事务、农林水事务、住房保障等民生支出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160151</w:t>
      </w:r>
      <w:r>
        <w:rPr>
          <w:rFonts w:hint="default" w:ascii="Times New Roman" w:hAnsi="Times New Roman" w:eastAsia="仿宋_GB2312" w:cs="Times New Roman"/>
          <w:sz w:val="34"/>
          <w:szCs w:val="34"/>
        </w:rPr>
        <w:t>万元，占总支出的86.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4"/>
          <w:szCs w:val="34"/>
        </w:rPr>
        <w:t>%</w:t>
      </w:r>
      <w:r>
        <w:rPr>
          <w:rFonts w:hint="default" w:ascii="Times New Roman" w:hAnsi="Times New Roman" w:eastAsia="仿宋_GB2312" w:cs="Times New Roman"/>
          <w:sz w:val="34"/>
          <w:szCs w:val="34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  <w:t>占比同去年基本持平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楷体_GB2312" w:cs="Times New Roman"/>
          <w:bCs/>
          <w:sz w:val="34"/>
          <w:szCs w:val="34"/>
          <w:highlight w:val="none"/>
        </w:rPr>
      </w:pPr>
      <w:r>
        <w:rPr>
          <w:rFonts w:hint="default" w:ascii="Times New Roman" w:hAnsi="Times New Roman" w:eastAsia="楷体_GB2312" w:cs="Times New Roman"/>
          <w:bCs/>
          <w:sz w:val="34"/>
          <w:szCs w:val="34"/>
          <w:highlight w:val="none"/>
        </w:rPr>
        <w:t>（二）政府性基金预算执行情况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上半年，政府性基金预算收入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441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万元，完成年初预算数的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6.7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%，下降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92.6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%，主要原因是上年有房地产企业土地摘牌收入，今年无此项收入；政府性基金预算支出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12147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万元，完成预算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数的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u w:val="none"/>
          <w:lang w:val="en-US" w:eastAsia="zh-CN"/>
        </w:rPr>
        <w:t>90.5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  <w:u w:val="none"/>
        </w:rPr>
        <w:t>%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，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同比增加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8096万元，增长199.9</w:t>
      </w:r>
      <w:r>
        <w:rPr>
          <w:rFonts w:hint="default" w:ascii="Times New Roman" w:hAnsi="Times New Roman" w:eastAsia="仿宋_GB2312" w:cs="Times New Roman"/>
          <w:sz w:val="34"/>
          <w:szCs w:val="34"/>
          <w:highlight w:val="none"/>
        </w:rPr>
        <w:t>%，主要是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eastAsia="zh-CN"/>
        </w:rPr>
        <w:t>本年度超长期国债安排的支出</w:t>
      </w:r>
      <w:r>
        <w:rPr>
          <w:rFonts w:hint="eastAsia" w:ascii="Times New Roman" w:hAnsi="Times New Roman" w:eastAsia="仿宋_GB2312" w:cs="Times New Roman"/>
          <w:sz w:val="34"/>
          <w:szCs w:val="34"/>
          <w:highlight w:val="none"/>
          <w:lang w:val="en-US" w:eastAsia="zh-CN"/>
        </w:rPr>
        <w:t>7145万元，上年截至六月末未安排该项支出；专项债付息支出比上年增加845万元。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楷体_GB2312" w:cs="Times New Roman"/>
          <w:bCs/>
          <w:sz w:val="34"/>
          <w:szCs w:val="34"/>
        </w:rPr>
      </w:pPr>
      <w:r>
        <w:rPr>
          <w:rFonts w:hint="default" w:ascii="Times New Roman" w:hAnsi="Times New Roman" w:eastAsia="楷体_GB2312" w:cs="Times New Roman"/>
          <w:bCs/>
          <w:sz w:val="34"/>
          <w:szCs w:val="34"/>
        </w:rPr>
        <w:t>（三）上半年预算执行的重点工作情况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3" w:firstLineChars="200"/>
        <w:textAlignment w:val="auto"/>
        <w:rPr>
          <w:rFonts w:hint="default" w:ascii="Times New Roman" w:hAnsi="Times New Roman" w:eastAsia="仿宋_GB2312" w:cs="Times New Roman"/>
          <w:bCs/>
          <w:sz w:val="34"/>
          <w:szCs w:val="34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sz w:val="34"/>
          <w:szCs w:val="34"/>
        </w:rPr>
        <w:t>1.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</w:rPr>
        <w:t>聚焦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  <w:lang w:val="en-US" w:eastAsia="zh-CN"/>
        </w:rPr>
        <w:t>稳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</w:rPr>
        <w:t>增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  <w:lang w:val="en-US" w:eastAsia="zh-CN"/>
        </w:rPr>
        <w:t>长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</w:rPr>
        <w:t>，全力做强做大收入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始终把聚财增收作为首要任务，多点发力、强势突围，夯实高质量发展的财力基础。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eastAsia="zh-CN"/>
        </w:rPr>
        <w:t>一是强化税收征管。依托财税联合会商机制，深化基础税源日常管理，紧盯重点行业税源动态，</w:t>
      </w:r>
      <w:r>
        <w:rPr>
          <w:rFonts w:hint="eastAsia" w:ascii="仿宋_GB2312" w:hAnsi="仿宋_GB2312" w:eastAsia="仿宋_GB2312" w:cs="仿宋_GB2312"/>
          <w:bCs/>
          <w:sz w:val="34"/>
          <w:szCs w:val="34"/>
        </w:rPr>
        <w:t>持续挖掘重点项目、重点企业增长潜力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二是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eastAsia="zh-CN"/>
        </w:rPr>
        <w:t>挖潜非税收入。联合公安、纪检、城管等部门建立联动机制，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eastAsia="zh-CN"/>
        </w:rPr>
        <w:t>聚焦大额一次性非税收入清缴，确保非税收入及时足额入库。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上半年非税</w:t>
      </w:r>
      <w:r>
        <w:rPr>
          <w:rFonts w:hint="default" w:ascii="Times New Roman" w:hAnsi="Times New Roman" w:eastAsia="仿宋_GB2312" w:cs="Times New Roman"/>
          <w:bCs/>
          <w:sz w:val="34"/>
          <w:szCs w:val="34"/>
          <w:highlight w:val="none"/>
        </w:rPr>
        <w:t>收入完成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3698</w:t>
      </w:r>
      <w:r>
        <w:rPr>
          <w:rFonts w:hint="default" w:ascii="Times New Roman" w:hAnsi="Times New Roman" w:eastAsia="仿宋_GB2312" w:cs="Times New Roman"/>
          <w:bCs/>
          <w:sz w:val="34"/>
          <w:szCs w:val="34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同比增加969</w:t>
      </w:r>
      <w:r>
        <w:rPr>
          <w:rFonts w:hint="default" w:ascii="Times New Roman" w:hAnsi="Times New Roman" w:eastAsia="仿宋_GB2312" w:cs="Times New Roman"/>
          <w:bCs/>
          <w:sz w:val="34"/>
          <w:szCs w:val="34"/>
          <w:highlight w:val="none"/>
        </w:rPr>
        <w:t>万元，增长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35.5</w:t>
      </w:r>
      <w:r>
        <w:rPr>
          <w:rFonts w:hint="default" w:ascii="Times New Roman" w:hAnsi="Times New Roman" w:eastAsia="仿宋_GB2312" w:cs="Times New Roman"/>
          <w:bCs/>
          <w:sz w:val="34"/>
          <w:szCs w:val="34"/>
          <w:highlight w:val="none"/>
        </w:rPr>
        <w:t>%。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积极向上争取资金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聚焦重大项目、重大工程，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加大争资争项力度，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上半年财力性转移支付到位15.7万元，同比增加1.7亿元，有效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缓解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地方财政压力，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为我市经济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持续健康发展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提供了坚实支撑。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3" w:firstLineChars="200"/>
        <w:textAlignment w:val="auto"/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4"/>
          <w:szCs w:val="34"/>
          <w:highlight w:val="none"/>
        </w:rPr>
        <w:t>2.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  <w:lang w:val="en-US" w:eastAsia="zh-CN"/>
        </w:rPr>
        <w:t>聚焦控支出，全力保障收支</w:t>
      </w:r>
      <w:r>
        <w:rPr>
          <w:rFonts w:hint="eastAsia" w:ascii="Times New Roman" w:hAnsi="Times New Roman" w:eastAsia="仿宋_GB2312" w:cs="Times New Roman"/>
          <w:b/>
          <w:bCs/>
          <w:sz w:val="34"/>
          <w:szCs w:val="34"/>
          <w:highlight w:val="none"/>
          <w:lang w:eastAsia="zh-CN"/>
        </w:rPr>
        <w:t>平衡。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4"/>
          <w:szCs w:val="34"/>
          <w:lang w:val="en-US" w:eastAsia="zh-CN" w:bidi="ar-SA"/>
        </w:rPr>
        <w:t>坚持将持续“过紧日子”和厉行节约精神贯穿预算执行全过程，精打细算，讲求绩效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b w:val="0"/>
          <w:bCs/>
          <w:sz w:val="34"/>
          <w:szCs w:val="34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4"/>
          <w:szCs w:val="34"/>
          <w:lang w:val="en-US" w:eastAsia="zh-CN" w:bidi="ar-SA"/>
        </w:rPr>
        <w:t>兜牢底线保“三保”。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4"/>
          <w:szCs w:val="34"/>
          <w:lang w:val="en-US" w:eastAsia="zh-CN" w:bidi="ar-SA"/>
        </w:rPr>
        <w:t>全面落实好保障责任，预算执行中始终坚持“三保”支出在财政支出中的优先顺序，切实保障工资发放、机构运转和基本民生等重点领域刚性支出。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二</w:t>
      </w: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厉行节约控支出。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4"/>
          <w:szCs w:val="34"/>
          <w:lang w:val="en-US" w:eastAsia="zh-CN" w:bidi="ar-SA"/>
        </w:rPr>
        <w:t>全面贯彻落实《党政机关厉行节约反对浪费条例》，从源头上控制财政支出，全面压减非刚性、非重点支出，进一步压减一般性支出，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上半年一般性支出同比压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减32.7%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b w:val="0"/>
          <w:bCs/>
          <w:sz w:val="34"/>
          <w:szCs w:val="34"/>
          <w:highlight w:val="none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b w:val="0"/>
          <w:bCs/>
          <w:sz w:val="34"/>
          <w:szCs w:val="34"/>
          <w:highlight w:val="none"/>
          <w:lang w:eastAsia="zh-CN"/>
        </w:rPr>
        <w:t>是</w:t>
      </w:r>
      <w:r>
        <w:rPr>
          <w:rFonts w:hint="eastAsia" w:ascii="Times New Roman" w:hAnsi="Times New Roman" w:eastAsia="仿宋_GB2312" w:cs="Times New Roman"/>
          <w:b w:val="0"/>
          <w:bCs/>
          <w:sz w:val="34"/>
          <w:szCs w:val="34"/>
          <w:highlight w:val="none"/>
          <w:lang w:val="en-US" w:eastAsia="zh-CN"/>
        </w:rPr>
        <w:t>强化收支保平衡。提升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财政运行稳定性，通过年初预算编制、盘活财政存量资金、优化支出结构保障重点等方式，在保障“三保+”支出的基础上，将市委、市政府重大决策项目作为重点支出，坚决不撒“胡椒面”，有效控制支出总量，确保年度财政收支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0" w:firstLineChars="200"/>
        <w:textAlignment w:val="auto"/>
        <w:rPr>
          <w:rFonts w:hint="default" w:ascii="Times New Roman" w:hAnsi="Times New Roman" w:eastAsia="仿宋" w:cs="Times New Roman"/>
          <w:bCs/>
          <w:color w:val="auto"/>
          <w:sz w:val="34"/>
          <w:szCs w:val="3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34"/>
          <w:szCs w:val="34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4"/>
          <w:szCs w:val="34"/>
          <w:highlight w:val="none"/>
        </w:rPr>
        <w:t>.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4"/>
          <w:szCs w:val="34"/>
          <w:highlight w:val="none"/>
          <w:lang w:eastAsia="zh-CN"/>
        </w:rPr>
        <w:t>聚焦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4"/>
          <w:szCs w:val="34"/>
          <w:highlight w:val="none"/>
          <w:lang w:val="en-US" w:eastAsia="zh-CN"/>
        </w:rPr>
        <w:t>强举措，全力深化国企改革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4"/>
          <w:szCs w:val="34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坚持以“时间过半、任务过半”为目标，推进国企改革走深走实。</w:t>
      </w:r>
      <w:r>
        <w:rPr>
          <w:rFonts w:hint="eastAsia" w:ascii="Times New Roman" w:hAnsi="Times New Roman" w:eastAsia="仿宋_GB2312" w:cs="Times New Roman"/>
          <w:bCs/>
          <w:color w:val="auto"/>
          <w:sz w:val="34"/>
          <w:szCs w:val="34"/>
          <w:highlight w:val="none"/>
          <w:lang w:val="en-US" w:eastAsia="zh-CN"/>
        </w:rPr>
        <w:t>一是持续推进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国企改革深化提升行动。现</w:t>
      </w:r>
      <w:r>
        <w:rPr>
          <w:rFonts w:hint="eastAsia" w:ascii="仿宋_GB2312" w:hAnsi="仿宋_GB2312" w:eastAsia="仿宋_GB2312" w:cs="仿宋_GB2312"/>
          <w:sz w:val="34"/>
          <w:szCs w:val="34"/>
        </w:rPr>
        <w:t>已完成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改革任务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项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正在推进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项，总体任务完成率为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92.9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%，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力争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年底前完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sz w:val="34"/>
          <w:szCs w:val="34"/>
        </w:rPr>
        <w:t>任务。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二是抓好三项制度改革。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</w:rPr>
        <w:t>制定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</w:rPr>
        <w:t>蛟河市关于开展深化国有企业三项制度改革行动工作方案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  <w:lang w:eastAsia="zh-CN"/>
        </w:rPr>
        <w:t>》，</w:t>
      </w: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要求全市国有企业制定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</w:rPr>
        <w:t>具有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  <w:lang w:val="en-US" w:eastAsia="zh-CN"/>
        </w:rPr>
        <w:t>可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</w:rPr>
        <w:t>操作性的劳动、人事和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  <w:lang w:val="en-US" w:eastAsia="zh-CN"/>
        </w:rPr>
        <w:t>薪酬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</w:rPr>
        <w:t>分配制度，</w:t>
      </w:r>
      <w:r>
        <w:rPr>
          <w:rFonts w:hint="eastAsia" w:ascii="仿宋" w:hAnsi="仿宋" w:eastAsia="仿宋" w:cs="仿宋"/>
          <w:color w:val="auto"/>
          <w:sz w:val="34"/>
          <w:szCs w:val="34"/>
          <w:highlight w:val="none"/>
          <w:lang w:val="en-US" w:eastAsia="zh-CN"/>
        </w:rPr>
        <w:t>促进国有企业高质量发展。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4"/>
          <w:szCs w:val="34"/>
          <w:highlight w:val="none"/>
          <w:lang w:val="en-US" w:eastAsia="zh-CN"/>
        </w:rPr>
        <w:t>三是积极推进</w:t>
      </w:r>
      <w:r>
        <w:rPr>
          <w:rFonts w:hint="eastAsia" w:ascii="Times New Roman" w:hAnsi="Times New Roman" w:eastAsia="仿宋_GB2312" w:cs="Times New Roman"/>
          <w:bCs/>
          <w:color w:val="auto"/>
          <w:sz w:val="34"/>
          <w:szCs w:val="34"/>
          <w:highlight w:val="none"/>
          <w:lang w:val="en-US" w:eastAsia="zh-CN"/>
        </w:rPr>
        <w:t>资产盘活利用。切实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4"/>
          <w:szCs w:val="34"/>
          <w:highlight w:val="none"/>
          <w:lang w:val="en-US" w:eastAsia="zh-CN"/>
        </w:rPr>
        <w:t>加强国有资产管理，严格</w:t>
      </w:r>
      <w:r>
        <w:rPr>
          <w:rFonts w:hint="eastAsia" w:ascii="Times New Roman" w:hAnsi="Times New Roman" w:eastAsia="仿宋_GB2312" w:cs="Times New Roman"/>
          <w:bCs/>
          <w:color w:val="auto"/>
          <w:sz w:val="34"/>
          <w:szCs w:val="34"/>
          <w:highlight w:val="none"/>
          <w:lang w:val="en-US" w:eastAsia="zh-CN"/>
        </w:rPr>
        <w:t>规范国有资产处置行为，年初以来盘活资产500万元。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83" w:firstLineChars="200"/>
        <w:textAlignment w:val="auto"/>
        <w:rPr>
          <w:rFonts w:hint="default" w:ascii="仿宋_GB2312" w:hAnsi="黑体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sz w:val="34"/>
          <w:szCs w:val="3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sz w:val="34"/>
          <w:szCs w:val="34"/>
        </w:rPr>
        <w:t>.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4"/>
          <w:szCs w:val="34"/>
          <w:highlight w:val="none"/>
          <w:lang w:val="en-US" w:eastAsia="zh-CN"/>
        </w:rPr>
        <w:t>聚焦守底线，全力防范化解风险。</w:t>
      </w:r>
      <w:r>
        <w:rPr>
          <w:rFonts w:hint="eastAsia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坚持保持战略定力、坚守底线思维、增强忧患意识，筑牢安全根基。一是严格政府债务限额管理，坚决遏制新增隐性债务，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上半年按时偿还债券本金及利息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highlight w:val="none"/>
          <w:lang w:val="en-US" w:eastAsia="zh-CN"/>
        </w:rPr>
        <w:t>2.35亿元，债务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率持续处于绿色安全区间。</w:t>
      </w:r>
      <w:r>
        <w:rPr>
          <w:rFonts w:hint="eastAsia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二是扎实推进平台公司退出工作。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4"/>
          <w:szCs w:val="34"/>
          <w:lang w:val="en-US" w:eastAsia="zh-CN" w:bidi="ar-SA"/>
        </w:rPr>
        <w:t>一季度已上报天岗开发区投资管理有限公司退出融资平台，现已通过财政部吉林省监管局审核批准，正在等待人民银行审核确认。</w:t>
      </w:r>
      <w:r>
        <w:rPr>
          <w:rFonts w:hint="eastAsia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三是全力防范和打击非法金融活动。上半年开展防范非法金融活动集中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4"/>
          <w:szCs w:val="34"/>
          <w:lang w:val="en-US" w:eastAsia="zh-CN" w:bidi="ar-SA"/>
        </w:rPr>
        <w:t>宣传2次、专项排查3次，</w:t>
      </w:r>
      <w:r>
        <w:rPr>
          <w:rFonts w:hint="eastAsia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未发生</w:t>
      </w:r>
      <w:r>
        <w:rPr>
          <w:rFonts w:hint="default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新发非法集资案件</w:t>
      </w:r>
      <w:r>
        <w:rPr>
          <w:rFonts w:hint="eastAsia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黑体" w:cs="Times New Roman"/>
          <w:sz w:val="34"/>
          <w:szCs w:val="34"/>
        </w:rPr>
      </w:pPr>
      <w:r>
        <w:rPr>
          <w:rFonts w:hint="default" w:ascii="Times New Roman" w:hAnsi="Times New Roman" w:eastAsia="黑体" w:cs="Times New Roman"/>
          <w:sz w:val="34"/>
          <w:szCs w:val="34"/>
        </w:rPr>
        <w:t>二、下半年工作计划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下半年，</w:t>
      </w:r>
      <w:r>
        <w:rPr>
          <w:rFonts w:hint="eastAsia" w:ascii="仿宋" w:hAnsi="仿宋" w:eastAsia="仿宋" w:cs="仿宋"/>
          <w:color w:val="auto"/>
          <w:kern w:val="2"/>
          <w:sz w:val="34"/>
          <w:szCs w:val="34"/>
          <w:highlight w:val="none"/>
          <w:lang w:val="en-US" w:eastAsia="zh-CN" w:bidi="ar-SA"/>
        </w:rPr>
        <w:t>我们紧紧围绕“稳增长、保重点、优结构、强绩效、过紧日子”的工作目标，强化统筹财政资源，全力以赴组织收入，大力优化支出结构，兜牢“三保”底线，保障重点领域资金需求，切实提升财政服务效能，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为全市经济社会发展筑牢坚实保障</w:t>
      </w:r>
      <w:r>
        <w:rPr>
          <w:rFonts w:hint="default" w:ascii="Times New Roman" w:hAnsi="Times New Roman" w:eastAsia="仿宋_GB2312" w:cs="Times New Roman"/>
          <w:sz w:val="34"/>
          <w:szCs w:val="34"/>
        </w:rPr>
        <w:t>。重点抓好以下几方面工作：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eastAsia" w:ascii="Times New Roman" w:hAnsi="Times New Roman" w:eastAsia="仿宋_GB2312" w:cs="Times New Roman"/>
          <w:color w:val="000000"/>
          <w:sz w:val="34"/>
          <w:szCs w:val="3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val="en-US" w:eastAsia="zh-CN"/>
        </w:rPr>
        <w:t>一</w:t>
      </w: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eastAsia="zh-CN"/>
        </w:rPr>
        <w:t>）抓收入强统筹，</w:t>
      </w: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val="en-US" w:eastAsia="zh-CN"/>
        </w:rPr>
        <w:t>增强财政保障能力</w:t>
      </w: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eastAsia="zh-CN"/>
        </w:rPr>
        <w:t>。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val="en-US" w:eastAsia="zh-CN"/>
        </w:rPr>
        <w:t>紧盯全年收入预算目标，持续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eastAsia="zh-CN"/>
        </w:rPr>
        <w:t>深化财税联合会商机制，监测重点行业、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val="en-US" w:eastAsia="zh-CN"/>
        </w:rPr>
        <w:t>重点企业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eastAsia="zh-CN"/>
        </w:rPr>
        <w:t>税源，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val="en-US" w:eastAsia="zh-CN"/>
        </w:rPr>
        <w:t>加强非税收入清缴联动，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eastAsia="zh-CN"/>
        </w:rPr>
        <w:t>确保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val="en-US" w:eastAsia="zh-CN"/>
        </w:rPr>
        <w:t>完成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eastAsia="zh-CN"/>
        </w:rPr>
        <w:t>全年地方财政收入</w:t>
      </w:r>
      <w:r>
        <w:rPr>
          <w:rFonts w:hint="eastAsia" w:ascii="Times New Roman" w:hAnsi="Times New Roman" w:eastAsia="仿宋_GB2312" w:cs="Times New Roman"/>
          <w:color w:val="000000"/>
          <w:sz w:val="34"/>
          <w:szCs w:val="34"/>
          <w:lang w:val="en-US" w:eastAsia="zh-CN"/>
        </w:rPr>
        <w:t>目标。积极争取超长期国债、中央预算内资金及试点示范项目，加大土地出让力度，力争地方自主财力增长10%，综合财力在吉林地区排名进位。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8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4"/>
          <w:szCs w:val="34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kern w:val="2"/>
          <w:sz w:val="34"/>
          <w:szCs w:val="34"/>
          <w:highlight w:val="none"/>
          <w:lang w:val="en-US" w:eastAsia="zh-CN" w:bidi="ar-SA"/>
        </w:rPr>
        <w:t>（二）抓管理守底线，有效防范化解风险。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4"/>
          <w:szCs w:val="34"/>
          <w:highlight w:val="none"/>
          <w:lang w:val="en-US" w:eastAsia="zh-CN"/>
        </w:rPr>
        <w:t>进一步强化政府债务管理，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4"/>
          <w:szCs w:val="34"/>
          <w:lang w:val="en-US" w:eastAsia="zh-CN" w:bidi="ar-SA"/>
        </w:rPr>
        <w:t>严格控制债务规模，坚决遏制债务增量，稳妥化解债务存量，守牢债务风险“警戒线”。深入开展防范非法金融活动宣传教育，</w:t>
      </w:r>
      <w:r>
        <w:rPr>
          <w:rFonts w:hint="eastAsia" w:ascii="Times New Roman" w:hAnsi="Times New Roman" w:eastAsia="仿宋_GB2312" w:cs="Times New Roman"/>
          <w:color w:val="auto"/>
          <w:sz w:val="34"/>
          <w:szCs w:val="34"/>
          <w:highlight w:val="none"/>
          <w:lang w:val="en-US" w:eastAsia="zh-CN"/>
        </w:rPr>
        <w:t>抓好防范非法金融活动专项排查，确保不发生重大非法金融案件。加快加力清理拖欠企业账款，充分利用国家债券和金融贷款政策，着力破解拖欠连环套，确保完成全年拖欠化解任务。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outlineLvl w:val="0"/>
        <w:rPr>
          <w:rFonts w:hint="eastAsia" w:eastAsia="宋体"/>
          <w:lang w:eastAsia="zh-CN"/>
        </w:rPr>
      </w:pP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val="en-US" w:eastAsia="zh-CN"/>
        </w:rPr>
        <w:t>（三）抓改革促发展，担当作为率先突破。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4"/>
          <w:szCs w:val="34"/>
          <w:highlight w:val="none"/>
          <w:lang w:val="en-US" w:eastAsia="zh-CN" w:bidi="ar-SA"/>
        </w:rPr>
        <w:t>加大存量资金、闲置资产、政府债权等资源要素的统筹盘活力度，加快构建统筹资源、资产、资金的“大财政”管理体系，全面提升财政资源综合使用效益。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强化国有资本经营预算管理，规范缴库渠道和方式，提升国有资本经营预算效能。深化政府采购制度改革，依托政彩云平台推进政府采购全流程电子化，提升政府采购工作质效。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4"/>
          <w:szCs w:val="34"/>
          <w:highlight w:val="none"/>
          <w:lang w:val="en-US" w:eastAsia="zh-CN"/>
        </w:rPr>
        <w:t>（四）抓基础严规范，提高财政运转质效</w:t>
      </w:r>
      <w:r>
        <w:rPr>
          <w:rFonts w:hint="default" w:ascii="楷体" w:hAnsi="楷体" w:eastAsia="楷体" w:cs="楷体"/>
          <w:color w:val="auto"/>
          <w:sz w:val="34"/>
          <w:szCs w:val="34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bCs/>
          <w:sz w:val="34"/>
          <w:szCs w:val="34"/>
          <w:lang w:val="en-US" w:eastAsia="zh-CN"/>
        </w:rPr>
        <w:t>夯实国库管理基础，科学调度资金，切实保障重点支出。进一步规范银行账户管理，切实抓好资金运行、财政专户、预算单位实体账户的监管工作，筑牢账户管理“安全网”。提高财会监督水平，严肃财经纪律，严控“三公”经费，严管“跑冒滴漏”，有效提升监管水平和风险防控能力。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加强对预算单位的培训指导，严格财务管理，提高会计信息质量。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  <w:r>
        <w:rPr>
          <w:rFonts w:hint="default" w:ascii="Times New Roman" w:hAnsi="Times New Roman" w:eastAsia="仿宋_GB2312" w:cs="Times New Roman"/>
          <w:sz w:val="34"/>
          <w:szCs w:val="34"/>
        </w:rPr>
        <w:t>上半年的财政收支成果来之不易，下半年的财政工作任务更加艰巨繁重。在今后的工作中，我们要在市委、市政府的正确领导下，在市人大的依法监督下，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坚持“从严管理、精准施策、动态调控”，确保全年预算执行目标全面</w:t>
      </w:r>
      <w:r>
        <w:rPr>
          <w:rFonts w:hint="eastAsia" w:ascii="Times New Roman" w:hAnsi="Times New Roman" w:eastAsia="仿宋_GB2312" w:cs="Times New Roman"/>
          <w:sz w:val="34"/>
          <w:szCs w:val="34"/>
          <w:lang w:val="en-US" w:eastAsia="zh-CN"/>
        </w:rPr>
        <w:t>完</w:t>
      </w:r>
      <w:r>
        <w:rPr>
          <w:rFonts w:hint="eastAsia" w:ascii="Times New Roman" w:hAnsi="Times New Roman" w:eastAsia="仿宋_GB2312" w:cs="Times New Roman"/>
          <w:sz w:val="34"/>
          <w:szCs w:val="34"/>
          <w:lang w:eastAsia="zh-CN"/>
        </w:rPr>
        <w:t>成，为经济社会高质量发展提供坚实财政支撑。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right="0"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</w:rPr>
      </w:pPr>
    </w:p>
    <w:sectPr>
      <w:headerReference r:id="rId3" w:type="default"/>
      <w:footerReference r:id="rId4" w:type="default"/>
      <w:pgSz w:w="11906" w:h="16838"/>
      <w:pgMar w:top="2041" w:right="1531" w:bottom="1984" w:left="153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9525</wp:posOffset>
              </wp:positionV>
              <wp:extent cx="18288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305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75pt;height:18.15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4LAJjVAAAABQEAAA8AAAAAAAAAAQAgAAAAIgAAAGRycy9kb3ducmV2Lnht&#10;bFBLAQIUABQAAAAIAIdO4kAiUmHHNQIAAGAEAAAOAAAAAAAAAAEAIAAAACQ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b w:val="0"/>
                        <w:bCs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tabs>
        <w:tab w:val="left" w:pos="3453"/>
      </w:tabs>
      <w:jc w:val="left"/>
      <w:rPr>
        <w:rFonts w:hint="eastAsia" w:eastAsiaTheme="minor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NWE3N2JlZDA2NTNkYTI0N2M2NDcxZjFjMmQ3ZTQifQ=="/>
    <w:docVar w:name="KSO_WPS_MARK_KEY" w:val="ec9ca579-08cf-4030-ad84-2c6faa702c16"/>
  </w:docVars>
  <w:rsids>
    <w:rsidRoot w:val="00E85E13"/>
    <w:rsid w:val="00013887"/>
    <w:rsid w:val="000464D9"/>
    <w:rsid w:val="00050955"/>
    <w:rsid w:val="00063F74"/>
    <w:rsid w:val="00066113"/>
    <w:rsid w:val="00073900"/>
    <w:rsid w:val="00084FFF"/>
    <w:rsid w:val="000913E7"/>
    <w:rsid w:val="000A375C"/>
    <w:rsid w:val="000B2AD3"/>
    <w:rsid w:val="000B757E"/>
    <w:rsid w:val="000D48FB"/>
    <w:rsid w:val="000E6BA1"/>
    <w:rsid w:val="00102F4A"/>
    <w:rsid w:val="0014728C"/>
    <w:rsid w:val="00163782"/>
    <w:rsid w:val="00166F5C"/>
    <w:rsid w:val="001A2B33"/>
    <w:rsid w:val="001A74CF"/>
    <w:rsid w:val="001D5C09"/>
    <w:rsid w:val="001D5C75"/>
    <w:rsid w:val="001D7B10"/>
    <w:rsid w:val="00204BEB"/>
    <w:rsid w:val="00223DE0"/>
    <w:rsid w:val="00226598"/>
    <w:rsid w:val="0024275D"/>
    <w:rsid w:val="00275904"/>
    <w:rsid w:val="00283A51"/>
    <w:rsid w:val="00290126"/>
    <w:rsid w:val="0029414A"/>
    <w:rsid w:val="00295789"/>
    <w:rsid w:val="002A5C46"/>
    <w:rsid w:val="002D52C9"/>
    <w:rsid w:val="00303699"/>
    <w:rsid w:val="00324D6E"/>
    <w:rsid w:val="00327E36"/>
    <w:rsid w:val="0033094E"/>
    <w:rsid w:val="00332053"/>
    <w:rsid w:val="00351B1B"/>
    <w:rsid w:val="00353BFB"/>
    <w:rsid w:val="00355A7E"/>
    <w:rsid w:val="00367814"/>
    <w:rsid w:val="00391AAD"/>
    <w:rsid w:val="003D69E5"/>
    <w:rsid w:val="003F08EB"/>
    <w:rsid w:val="0041020A"/>
    <w:rsid w:val="00424995"/>
    <w:rsid w:val="004344EA"/>
    <w:rsid w:val="004B4C62"/>
    <w:rsid w:val="004C3D22"/>
    <w:rsid w:val="004C79BF"/>
    <w:rsid w:val="004D6952"/>
    <w:rsid w:val="004E713D"/>
    <w:rsid w:val="00503839"/>
    <w:rsid w:val="00550DED"/>
    <w:rsid w:val="00561FB4"/>
    <w:rsid w:val="00564D5E"/>
    <w:rsid w:val="005736B7"/>
    <w:rsid w:val="005759B4"/>
    <w:rsid w:val="00587066"/>
    <w:rsid w:val="00593EBC"/>
    <w:rsid w:val="005A3470"/>
    <w:rsid w:val="005C0B24"/>
    <w:rsid w:val="005C540D"/>
    <w:rsid w:val="005C678E"/>
    <w:rsid w:val="005E4032"/>
    <w:rsid w:val="00600569"/>
    <w:rsid w:val="00604D0B"/>
    <w:rsid w:val="006077E9"/>
    <w:rsid w:val="0062210E"/>
    <w:rsid w:val="00635AE6"/>
    <w:rsid w:val="006403AB"/>
    <w:rsid w:val="006565E0"/>
    <w:rsid w:val="006643C5"/>
    <w:rsid w:val="00665B28"/>
    <w:rsid w:val="00672126"/>
    <w:rsid w:val="00672530"/>
    <w:rsid w:val="00677158"/>
    <w:rsid w:val="00694A27"/>
    <w:rsid w:val="006A36CA"/>
    <w:rsid w:val="006A4D74"/>
    <w:rsid w:val="006B254E"/>
    <w:rsid w:val="006C061E"/>
    <w:rsid w:val="006D4011"/>
    <w:rsid w:val="006F6156"/>
    <w:rsid w:val="006F7CE9"/>
    <w:rsid w:val="00704436"/>
    <w:rsid w:val="007057EE"/>
    <w:rsid w:val="00725D0E"/>
    <w:rsid w:val="00734E8E"/>
    <w:rsid w:val="00747A92"/>
    <w:rsid w:val="00756795"/>
    <w:rsid w:val="00762ACC"/>
    <w:rsid w:val="00774B3A"/>
    <w:rsid w:val="0078499C"/>
    <w:rsid w:val="007B0844"/>
    <w:rsid w:val="007B5DB0"/>
    <w:rsid w:val="007C2E45"/>
    <w:rsid w:val="007C319F"/>
    <w:rsid w:val="007C7E3D"/>
    <w:rsid w:val="007F6F0C"/>
    <w:rsid w:val="007F7D24"/>
    <w:rsid w:val="00817747"/>
    <w:rsid w:val="008206D8"/>
    <w:rsid w:val="0082729A"/>
    <w:rsid w:val="008274AF"/>
    <w:rsid w:val="00873BBA"/>
    <w:rsid w:val="00895335"/>
    <w:rsid w:val="008A5D57"/>
    <w:rsid w:val="008C0AC4"/>
    <w:rsid w:val="008F2A99"/>
    <w:rsid w:val="008F5EFD"/>
    <w:rsid w:val="0091121A"/>
    <w:rsid w:val="00940587"/>
    <w:rsid w:val="009617C6"/>
    <w:rsid w:val="00961F1E"/>
    <w:rsid w:val="00973A6F"/>
    <w:rsid w:val="009744FB"/>
    <w:rsid w:val="009A6E6B"/>
    <w:rsid w:val="009B05DD"/>
    <w:rsid w:val="009E2C75"/>
    <w:rsid w:val="009E3246"/>
    <w:rsid w:val="009E5483"/>
    <w:rsid w:val="009E75EE"/>
    <w:rsid w:val="00A059CB"/>
    <w:rsid w:val="00A10AC7"/>
    <w:rsid w:val="00A250EC"/>
    <w:rsid w:val="00A25BCF"/>
    <w:rsid w:val="00A330DA"/>
    <w:rsid w:val="00A52AF2"/>
    <w:rsid w:val="00A5582C"/>
    <w:rsid w:val="00A56FC3"/>
    <w:rsid w:val="00A95208"/>
    <w:rsid w:val="00AA1043"/>
    <w:rsid w:val="00AA1522"/>
    <w:rsid w:val="00AC067B"/>
    <w:rsid w:val="00AD01EA"/>
    <w:rsid w:val="00AD2531"/>
    <w:rsid w:val="00AD2CDB"/>
    <w:rsid w:val="00AE07EE"/>
    <w:rsid w:val="00B11126"/>
    <w:rsid w:val="00B158FE"/>
    <w:rsid w:val="00B276B3"/>
    <w:rsid w:val="00B3084C"/>
    <w:rsid w:val="00B34261"/>
    <w:rsid w:val="00B47F2D"/>
    <w:rsid w:val="00B73BCC"/>
    <w:rsid w:val="00BB3001"/>
    <w:rsid w:val="00BC3737"/>
    <w:rsid w:val="00BF07B1"/>
    <w:rsid w:val="00BF232C"/>
    <w:rsid w:val="00BF7C29"/>
    <w:rsid w:val="00C00CBF"/>
    <w:rsid w:val="00C059DB"/>
    <w:rsid w:val="00C17058"/>
    <w:rsid w:val="00C24CE4"/>
    <w:rsid w:val="00C27790"/>
    <w:rsid w:val="00C30BE1"/>
    <w:rsid w:val="00C36FEB"/>
    <w:rsid w:val="00C47E64"/>
    <w:rsid w:val="00C50554"/>
    <w:rsid w:val="00C709C8"/>
    <w:rsid w:val="00CA5422"/>
    <w:rsid w:val="00CD42A0"/>
    <w:rsid w:val="00D03531"/>
    <w:rsid w:val="00D438B9"/>
    <w:rsid w:val="00D444BD"/>
    <w:rsid w:val="00D448F0"/>
    <w:rsid w:val="00D45CD9"/>
    <w:rsid w:val="00D85D5B"/>
    <w:rsid w:val="00D86BAD"/>
    <w:rsid w:val="00DA2706"/>
    <w:rsid w:val="00DA3D0D"/>
    <w:rsid w:val="00DA5C57"/>
    <w:rsid w:val="00DB2140"/>
    <w:rsid w:val="00DC0187"/>
    <w:rsid w:val="00DC2F82"/>
    <w:rsid w:val="00DC492C"/>
    <w:rsid w:val="00DD0E65"/>
    <w:rsid w:val="00DD30D7"/>
    <w:rsid w:val="00DF585C"/>
    <w:rsid w:val="00E17787"/>
    <w:rsid w:val="00E21811"/>
    <w:rsid w:val="00E25D02"/>
    <w:rsid w:val="00E33F4C"/>
    <w:rsid w:val="00E4149E"/>
    <w:rsid w:val="00E527A9"/>
    <w:rsid w:val="00E85E13"/>
    <w:rsid w:val="00EA1DCB"/>
    <w:rsid w:val="00EA613B"/>
    <w:rsid w:val="00EB0E2A"/>
    <w:rsid w:val="00EC5D38"/>
    <w:rsid w:val="00ED78DF"/>
    <w:rsid w:val="00EE68C0"/>
    <w:rsid w:val="00EF7196"/>
    <w:rsid w:val="00F15CEC"/>
    <w:rsid w:val="00F44236"/>
    <w:rsid w:val="00F44359"/>
    <w:rsid w:val="00F4516B"/>
    <w:rsid w:val="00F96E54"/>
    <w:rsid w:val="00FF107E"/>
    <w:rsid w:val="00FF5A4D"/>
    <w:rsid w:val="012D0DC2"/>
    <w:rsid w:val="015E5D13"/>
    <w:rsid w:val="018609C8"/>
    <w:rsid w:val="01CA216C"/>
    <w:rsid w:val="01E925F2"/>
    <w:rsid w:val="020F676D"/>
    <w:rsid w:val="02C77CFF"/>
    <w:rsid w:val="03836A76"/>
    <w:rsid w:val="0451447E"/>
    <w:rsid w:val="04CE1F73"/>
    <w:rsid w:val="05A36F5B"/>
    <w:rsid w:val="05CF5FA2"/>
    <w:rsid w:val="06D73361"/>
    <w:rsid w:val="07440D11"/>
    <w:rsid w:val="07A73F91"/>
    <w:rsid w:val="0825502D"/>
    <w:rsid w:val="084E1401"/>
    <w:rsid w:val="09024465"/>
    <w:rsid w:val="09D2349D"/>
    <w:rsid w:val="0A7D2CEC"/>
    <w:rsid w:val="0AE1016A"/>
    <w:rsid w:val="0B0264D2"/>
    <w:rsid w:val="0B1D4028"/>
    <w:rsid w:val="0BB377CC"/>
    <w:rsid w:val="0BE14389"/>
    <w:rsid w:val="0C6B56F0"/>
    <w:rsid w:val="0CAC1426"/>
    <w:rsid w:val="0D8D29CB"/>
    <w:rsid w:val="0DE6032D"/>
    <w:rsid w:val="0E1D459A"/>
    <w:rsid w:val="0E1F162F"/>
    <w:rsid w:val="0F7D25CB"/>
    <w:rsid w:val="0FC30A30"/>
    <w:rsid w:val="105D35D7"/>
    <w:rsid w:val="11140F45"/>
    <w:rsid w:val="11D4287F"/>
    <w:rsid w:val="1279351E"/>
    <w:rsid w:val="12B04A66"/>
    <w:rsid w:val="14BB2F50"/>
    <w:rsid w:val="14D139AD"/>
    <w:rsid w:val="155B6F0B"/>
    <w:rsid w:val="157863B8"/>
    <w:rsid w:val="15D867AD"/>
    <w:rsid w:val="16482F86"/>
    <w:rsid w:val="165E33FC"/>
    <w:rsid w:val="17D411F6"/>
    <w:rsid w:val="181C0B66"/>
    <w:rsid w:val="181F450F"/>
    <w:rsid w:val="18E70A6B"/>
    <w:rsid w:val="195B3CCC"/>
    <w:rsid w:val="1AE14DA1"/>
    <w:rsid w:val="1B434FD9"/>
    <w:rsid w:val="1B5D3F15"/>
    <w:rsid w:val="1CD203FA"/>
    <w:rsid w:val="1CF55E97"/>
    <w:rsid w:val="1D7C2913"/>
    <w:rsid w:val="1DAE34F4"/>
    <w:rsid w:val="1DDD21BF"/>
    <w:rsid w:val="1E390005"/>
    <w:rsid w:val="1EF363E1"/>
    <w:rsid w:val="1F3470AC"/>
    <w:rsid w:val="1F5350F7"/>
    <w:rsid w:val="1FA01DAA"/>
    <w:rsid w:val="2008332F"/>
    <w:rsid w:val="20691C4E"/>
    <w:rsid w:val="20722B0E"/>
    <w:rsid w:val="21062C11"/>
    <w:rsid w:val="210843FB"/>
    <w:rsid w:val="21AB35D7"/>
    <w:rsid w:val="22B62802"/>
    <w:rsid w:val="22B97967"/>
    <w:rsid w:val="23185BB1"/>
    <w:rsid w:val="249C4E4A"/>
    <w:rsid w:val="249D12EE"/>
    <w:rsid w:val="249D5A1B"/>
    <w:rsid w:val="24AB4293"/>
    <w:rsid w:val="24B56945"/>
    <w:rsid w:val="24CA5E5B"/>
    <w:rsid w:val="25306C77"/>
    <w:rsid w:val="25981AB5"/>
    <w:rsid w:val="27D60B45"/>
    <w:rsid w:val="28996270"/>
    <w:rsid w:val="28C438A7"/>
    <w:rsid w:val="28EE3B6C"/>
    <w:rsid w:val="29055145"/>
    <w:rsid w:val="2912392D"/>
    <w:rsid w:val="29C46615"/>
    <w:rsid w:val="2A164BCF"/>
    <w:rsid w:val="2A685EFA"/>
    <w:rsid w:val="2ABD1D3A"/>
    <w:rsid w:val="2AC60E73"/>
    <w:rsid w:val="2B2838DB"/>
    <w:rsid w:val="2B9920E3"/>
    <w:rsid w:val="2C26606D"/>
    <w:rsid w:val="2C705D45"/>
    <w:rsid w:val="2D082244"/>
    <w:rsid w:val="2D426ED6"/>
    <w:rsid w:val="2D917A4F"/>
    <w:rsid w:val="2D984D48"/>
    <w:rsid w:val="2E0512FC"/>
    <w:rsid w:val="2E9F2106"/>
    <w:rsid w:val="2EB931C8"/>
    <w:rsid w:val="2FD933F6"/>
    <w:rsid w:val="30560E76"/>
    <w:rsid w:val="307C26FF"/>
    <w:rsid w:val="31F62170"/>
    <w:rsid w:val="3225316D"/>
    <w:rsid w:val="327B2A55"/>
    <w:rsid w:val="32965302"/>
    <w:rsid w:val="33AE27B3"/>
    <w:rsid w:val="352F42E4"/>
    <w:rsid w:val="3553461E"/>
    <w:rsid w:val="358A766C"/>
    <w:rsid w:val="359C311A"/>
    <w:rsid w:val="36592A97"/>
    <w:rsid w:val="3692607B"/>
    <w:rsid w:val="3754432B"/>
    <w:rsid w:val="376257C3"/>
    <w:rsid w:val="37966E8D"/>
    <w:rsid w:val="37DC41E7"/>
    <w:rsid w:val="38793DFE"/>
    <w:rsid w:val="388A33F1"/>
    <w:rsid w:val="38BE1ED9"/>
    <w:rsid w:val="38DE1595"/>
    <w:rsid w:val="392A081F"/>
    <w:rsid w:val="39711304"/>
    <w:rsid w:val="3A26548A"/>
    <w:rsid w:val="3A492A1D"/>
    <w:rsid w:val="3B730A93"/>
    <w:rsid w:val="3BA26809"/>
    <w:rsid w:val="3BAC6E1F"/>
    <w:rsid w:val="3BB57489"/>
    <w:rsid w:val="3C753A86"/>
    <w:rsid w:val="3C917838"/>
    <w:rsid w:val="3CD16E03"/>
    <w:rsid w:val="3E3122D9"/>
    <w:rsid w:val="3E432AAE"/>
    <w:rsid w:val="3FD66133"/>
    <w:rsid w:val="3FD66F80"/>
    <w:rsid w:val="40033693"/>
    <w:rsid w:val="40A90D12"/>
    <w:rsid w:val="413D2FC8"/>
    <w:rsid w:val="413E2CCE"/>
    <w:rsid w:val="41B26086"/>
    <w:rsid w:val="424741EF"/>
    <w:rsid w:val="427E2307"/>
    <w:rsid w:val="42E13C16"/>
    <w:rsid w:val="43A10B96"/>
    <w:rsid w:val="4450382F"/>
    <w:rsid w:val="457B0D80"/>
    <w:rsid w:val="45AA0617"/>
    <w:rsid w:val="46511069"/>
    <w:rsid w:val="485A0067"/>
    <w:rsid w:val="48B325DE"/>
    <w:rsid w:val="49431385"/>
    <w:rsid w:val="49665F77"/>
    <w:rsid w:val="497A58A0"/>
    <w:rsid w:val="4A7F0026"/>
    <w:rsid w:val="4AFB34B4"/>
    <w:rsid w:val="4B337C26"/>
    <w:rsid w:val="4B6246F6"/>
    <w:rsid w:val="4B8D35BB"/>
    <w:rsid w:val="4C022298"/>
    <w:rsid w:val="4D7D5036"/>
    <w:rsid w:val="4DEB281B"/>
    <w:rsid w:val="4E4D5343"/>
    <w:rsid w:val="4E9C46E9"/>
    <w:rsid w:val="4EE21D9C"/>
    <w:rsid w:val="4F047FDB"/>
    <w:rsid w:val="4F3501F1"/>
    <w:rsid w:val="4F726479"/>
    <w:rsid w:val="4F896837"/>
    <w:rsid w:val="4F8C69B7"/>
    <w:rsid w:val="501D46C3"/>
    <w:rsid w:val="502142D2"/>
    <w:rsid w:val="503A0522"/>
    <w:rsid w:val="50463E56"/>
    <w:rsid w:val="50464600"/>
    <w:rsid w:val="50576F56"/>
    <w:rsid w:val="5063145E"/>
    <w:rsid w:val="511C70A6"/>
    <w:rsid w:val="511E6A63"/>
    <w:rsid w:val="514D037E"/>
    <w:rsid w:val="519474B4"/>
    <w:rsid w:val="51C15D6C"/>
    <w:rsid w:val="521D5372"/>
    <w:rsid w:val="524D0C86"/>
    <w:rsid w:val="52862B12"/>
    <w:rsid w:val="529F23E2"/>
    <w:rsid w:val="530D32F7"/>
    <w:rsid w:val="534722A1"/>
    <w:rsid w:val="53487DC7"/>
    <w:rsid w:val="53EB7B4F"/>
    <w:rsid w:val="548B08B3"/>
    <w:rsid w:val="55980A53"/>
    <w:rsid w:val="560250B0"/>
    <w:rsid w:val="56B714EC"/>
    <w:rsid w:val="56E878F7"/>
    <w:rsid w:val="56FD12CB"/>
    <w:rsid w:val="5765363E"/>
    <w:rsid w:val="57A47B2A"/>
    <w:rsid w:val="585D2A77"/>
    <w:rsid w:val="58631143"/>
    <w:rsid w:val="586E6522"/>
    <w:rsid w:val="59266DFD"/>
    <w:rsid w:val="5A2C5D28"/>
    <w:rsid w:val="5A4C2893"/>
    <w:rsid w:val="5A7C7269"/>
    <w:rsid w:val="5BA02E96"/>
    <w:rsid w:val="5C7D31D8"/>
    <w:rsid w:val="5CF00080"/>
    <w:rsid w:val="5DF20A92"/>
    <w:rsid w:val="5E7F6334"/>
    <w:rsid w:val="5ECA6524"/>
    <w:rsid w:val="5F4C3B21"/>
    <w:rsid w:val="5F830B05"/>
    <w:rsid w:val="60027443"/>
    <w:rsid w:val="601E438A"/>
    <w:rsid w:val="608C39E9"/>
    <w:rsid w:val="60CA687A"/>
    <w:rsid w:val="60CB67FA"/>
    <w:rsid w:val="61D373F6"/>
    <w:rsid w:val="622D4D58"/>
    <w:rsid w:val="62B84DC5"/>
    <w:rsid w:val="62BE2A81"/>
    <w:rsid w:val="62C751AC"/>
    <w:rsid w:val="643044F1"/>
    <w:rsid w:val="645437A2"/>
    <w:rsid w:val="65165F77"/>
    <w:rsid w:val="65366619"/>
    <w:rsid w:val="655D360C"/>
    <w:rsid w:val="6626043C"/>
    <w:rsid w:val="66EC6AB2"/>
    <w:rsid w:val="672229B1"/>
    <w:rsid w:val="67A71109"/>
    <w:rsid w:val="68C64171"/>
    <w:rsid w:val="68FE0743"/>
    <w:rsid w:val="6A7E51E5"/>
    <w:rsid w:val="6B4F21E3"/>
    <w:rsid w:val="6B5622D7"/>
    <w:rsid w:val="6B5E7C81"/>
    <w:rsid w:val="6B9A16B0"/>
    <w:rsid w:val="6DAC49B7"/>
    <w:rsid w:val="6E745E0C"/>
    <w:rsid w:val="6F1572A0"/>
    <w:rsid w:val="6F265009"/>
    <w:rsid w:val="6F5E7BAA"/>
    <w:rsid w:val="70DF364C"/>
    <w:rsid w:val="71714DC0"/>
    <w:rsid w:val="71885014"/>
    <w:rsid w:val="721E1059"/>
    <w:rsid w:val="7238539E"/>
    <w:rsid w:val="73740A39"/>
    <w:rsid w:val="74DB0643"/>
    <w:rsid w:val="753C2E34"/>
    <w:rsid w:val="777640F5"/>
    <w:rsid w:val="78746DE5"/>
    <w:rsid w:val="79764DDF"/>
    <w:rsid w:val="798B6ADC"/>
    <w:rsid w:val="79941010"/>
    <w:rsid w:val="7A2553CC"/>
    <w:rsid w:val="7B1C250A"/>
    <w:rsid w:val="7B60033E"/>
    <w:rsid w:val="7C3E489E"/>
    <w:rsid w:val="7C444D20"/>
    <w:rsid w:val="7CDF31B3"/>
    <w:rsid w:val="7D4E40A8"/>
    <w:rsid w:val="7E112980"/>
    <w:rsid w:val="7E2E3EDA"/>
    <w:rsid w:val="7E50202B"/>
    <w:rsid w:val="7E6F100F"/>
    <w:rsid w:val="7E79741A"/>
    <w:rsid w:val="7E8C3798"/>
    <w:rsid w:val="7F3D5A30"/>
    <w:rsid w:val="7F820039"/>
    <w:rsid w:val="7F986D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Title"/>
    <w:basedOn w:val="1"/>
    <w:next w:val="1"/>
    <w:qFormat/>
    <w:uiPriority w:val="99"/>
    <w:pPr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customStyle="1" w:styleId="11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4630</Words>
  <Characters>5182</Characters>
  <Lines>30</Lines>
  <Paragraphs>8</Paragraphs>
  <TotalTime>2</TotalTime>
  <ScaleCrop>false</ScaleCrop>
  <LinksUpToDate>false</LinksUpToDate>
  <CharactersWithSpaces>5213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2023-06-29T07:16:00Z</dcterms:created>
  <dc:creator>微软用户</dc:creator>
  <cp:lastModifiedBy>Microsoft</cp:lastModifiedBy>
  <cp:lastPrinted>2025-05-27T12:30:00Z</cp:lastPrinted>
  <dcterms:modified xsi:type="dcterms:W3CDTF">2025-08-07T01:49:28Z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AA0D2D29CB4D4FE49DBF4C1C7CA0A304_13</vt:lpwstr>
  </property>
  <property fmtid="{D5CDD505-2E9C-101B-9397-08002B2CF9AE}" pid="4" name="KSOTemplateDocerSaveRecord">
    <vt:lpwstr>eyJoZGlkIjoiNGQ2MWZhNGRlM2MzNjE1NTRlNzQyNmYxMzY2ZWIxOGEiLCJ1c2VySWQiOiI2MDg2MjAxMjkifQ==</vt:lpwstr>
  </property>
</Properties>
</file>